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8BE3FD">
      <w:pPr>
        <w:jc w:val="center"/>
        <w:rPr>
          <w:rFonts w:ascii="Times New Roman" w:hAnsi="Times New Roman" w:eastAsia="Times New Roman" w:cs="Times New Roman"/>
          <w:b/>
          <w:sz w:val="18"/>
          <w:szCs w:val="18"/>
        </w:rPr>
      </w:pPr>
    </w:p>
    <w:p w14:paraId="2A55F2DF">
      <w:pPr>
        <w:jc w:val="center"/>
        <w:rPr>
          <w:rFonts w:ascii="Times New Roman" w:hAnsi="Times New Roman" w:eastAsia="Times New Roman" w:cs="Times New Roman"/>
          <w:b/>
          <w:sz w:val="18"/>
          <w:szCs w:val="18"/>
        </w:rPr>
      </w:pPr>
      <w:r>
        <w:rPr>
          <w:rFonts w:ascii="Times New Roman" w:hAnsi="Times New Roman" w:eastAsia="Times New Roman" w:cs="Times New Roman"/>
          <w:b/>
          <w:sz w:val="18"/>
          <w:szCs w:val="18"/>
          <w:rtl w:val="0"/>
        </w:rPr>
        <w:t>СОГЛАШЕНИЕ О КОНФИДЕНЦИАЛЬНОСТИ</w:t>
      </w:r>
    </w:p>
    <w:p w14:paraId="6DA7536C">
      <w:pPr>
        <w:jc w:val="center"/>
        <w:rPr>
          <w:rFonts w:ascii="Times New Roman" w:hAnsi="Times New Roman" w:eastAsia="Times New Roman" w:cs="Times New Roman"/>
          <w:b/>
          <w:sz w:val="18"/>
          <w:szCs w:val="18"/>
        </w:rPr>
      </w:pPr>
      <w:r>
        <w:rPr>
          <w:rFonts w:ascii="Times New Roman" w:hAnsi="Times New Roman" w:eastAsia="Times New Roman" w:cs="Times New Roman"/>
          <w:b/>
          <w:sz w:val="18"/>
          <w:szCs w:val="18"/>
          <w:rtl w:val="0"/>
        </w:rPr>
        <w:t>(ДОГОВОР ПРИСОЕДИНЕНИЯ)</w:t>
      </w:r>
    </w:p>
    <w:p w14:paraId="27A2C6B1">
      <w:pPr>
        <w:spacing w:after="0" w:line="240" w:lineRule="auto"/>
        <w:jc w:val="both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rtl w:val="0"/>
        </w:rPr>
        <w:t xml:space="preserve">г. Москва </w:t>
      </w:r>
      <w:r>
        <w:rPr>
          <w:rFonts w:ascii="Times New Roman" w:hAnsi="Times New Roman" w:eastAsia="Times New Roman" w:cs="Times New Roman"/>
          <w:sz w:val="18"/>
          <w:szCs w:val="18"/>
          <w:rtl w:val="0"/>
        </w:rPr>
        <w:tab/>
      </w:r>
      <w:r>
        <w:rPr>
          <w:rFonts w:ascii="Times New Roman" w:hAnsi="Times New Roman" w:eastAsia="Times New Roman" w:cs="Times New Roman"/>
          <w:sz w:val="18"/>
          <w:szCs w:val="18"/>
          <w:rtl w:val="0"/>
        </w:rPr>
        <w:tab/>
      </w:r>
      <w:r>
        <w:rPr>
          <w:rFonts w:ascii="Times New Roman" w:hAnsi="Times New Roman" w:eastAsia="Times New Roman" w:cs="Times New Roman"/>
          <w:sz w:val="18"/>
          <w:szCs w:val="18"/>
          <w:rtl w:val="0"/>
        </w:rPr>
        <w:tab/>
      </w:r>
      <w:r>
        <w:rPr>
          <w:rFonts w:ascii="Times New Roman" w:hAnsi="Times New Roman" w:eastAsia="Times New Roman" w:cs="Times New Roman"/>
          <w:sz w:val="18"/>
          <w:szCs w:val="18"/>
          <w:rtl w:val="0"/>
        </w:rPr>
        <w:t xml:space="preserve">                                                                                             «____» _______________ 20____ г. </w:t>
      </w:r>
    </w:p>
    <w:p w14:paraId="74AFAED2">
      <w:pPr>
        <w:spacing w:after="0" w:line="240" w:lineRule="auto"/>
        <w:jc w:val="both"/>
        <w:rPr>
          <w:rFonts w:ascii="Times New Roman" w:hAnsi="Times New Roman" w:eastAsia="Times New Roman" w:cs="Times New Roman"/>
          <w:sz w:val="18"/>
          <w:szCs w:val="18"/>
        </w:rPr>
      </w:pPr>
    </w:p>
    <w:p w14:paraId="2B1DDB71">
      <w:pPr>
        <w:spacing w:after="0" w:line="240" w:lineRule="auto"/>
        <w:jc w:val="both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b/>
          <w:sz w:val="18"/>
          <w:szCs w:val="18"/>
          <w:rtl w:val="0"/>
        </w:rPr>
        <w:t>ООО «ЛЕГАЛТЭК», ИНН: 9731078560; ОГРН: 1217700202510</w:t>
      </w:r>
      <w:r>
        <w:rPr>
          <w:rFonts w:ascii="Times New Roman" w:hAnsi="Times New Roman" w:eastAsia="Times New Roman" w:cs="Times New Roman"/>
          <w:sz w:val="18"/>
          <w:szCs w:val="18"/>
          <w:rtl w:val="0"/>
        </w:rPr>
        <w:t>, в лице Генерального директора Лопатухина Бориса Владимировича, действующего на основании Устава (далее именуемое – «</w:t>
      </w:r>
      <w:r>
        <w:rPr>
          <w:rFonts w:ascii="Times New Roman" w:hAnsi="Times New Roman" w:eastAsia="Times New Roman" w:cs="Times New Roman"/>
          <w:b/>
          <w:sz w:val="18"/>
          <w:szCs w:val="18"/>
          <w:rtl w:val="0"/>
        </w:rPr>
        <w:t>Раскрывающая сторона», «Организация»)</w:t>
      </w:r>
      <w:r>
        <w:rPr>
          <w:rFonts w:ascii="Times New Roman" w:hAnsi="Times New Roman" w:eastAsia="Times New Roman" w:cs="Times New Roman"/>
          <w:sz w:val="18"/>
          <w:szCs w:val="18"/>
          <w:rtl w:val="0"/>
        </w:rPr>
        <w:t>, с одной стороны, и</w:t>
      </w:r>
    </w:p>
    <w:p w14:paraId="6BB66FD4">
      <w:pPr>
        <w:spacing w:after="0" w:line="240" w:lineRule="auto"/>
        <w:jc w:val="both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b/>
          <w:sz w:val="18"/>
          <w:szCs w:val="18"/>
          <w:rtl w:val="0"/>
        </w:rPr>
        <w:t>__________________________________________________________________________________</w:t>
      </w:r>
      <w:r>
        <w:rPr>
          <w:rFonts w:ascii="Times New Roman" w:hAnsi="Times New Roman" w:eastAsia="Times New Roman" w:cs="Times New Roman"/>
          <w:sz w:val="18"/>
          <w:szCs w:val="18"/>
          <w:rtl w:val="0"/>
        </w:rPr>
        <w:t>(далее – «</w:t>
      </w:r>
      <w:r>
        <w:rPr>
          <w:rFonts w:ascii="Times New Roman" w:hAnsi="Times New Roman" w:eastAsia="Times New Roman" w:cs="Times New Roman"/>
          <w:b/>
          <w:sz w:val="18"/>
          <w:szCs w:val="18"/>
          <w:rtl w:val="0"/>
        </w:rPr>
        <w:t>Принимающая сторона</w:t>
      </w:r>
      <w:r>
        <w:rPr>
          <w:rFonts w:ascii="Times New Roman" w:hAnsi="Times New Roman" w:eastAsia="Times New Roman" w:cs="Times New Roman"/>
          <w:sz w:val="18"/>
          <w:szCs w:val="18"/>
          <w:rtl w:val="0"/>
        </w:rPr>
        <w:t>»), с другой стороны, далее совместно именуемые «Стороны», заключили настоящее Соглашение о нижеследующем:</w:t>
      </w:r>
    </w:p>
    <w:p w14:paraId="04455768">
      <w:pPr>
        <w:spacing w:after="0" w:line="240" w:lineRule="auto"/>
        <w:rPr>
          <w:rFonts w:ascii="Times New Roman" w:hAnsi="Times New Roman" w:eastAsia="Times New Roman" w:cs="Times New Roman"/>
          <w:b/>
          <w:sz w:val="18"/>
          <w:szCs w:val="18"/>
        </w:rPr>
      </w:pPr>
    </w:p>
    <w:p w14:paraId="3F10EBD1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18"/>
          <w:szCs w:val="18"/>
        </w:rPr>
      </w:pPr>
      <w:r>
        <w:rPr>
          <w:rFonts w:ascii="Times New Roman" w:hAnsi="Times New Roman" w:eastAsia="Times New Roman" w:cs="Times New Roman"/>
          <w:b/>
          <w:sz w:val="18"/>
          <w:szCs w:val="18"/>
          <w:rtl w:val="0"/>
        </w:rPr>
        <w:t>1.</w:t>
      </w:r>
      <w:r>
        <w:rPr>
          <w:rFonts w:ascii="Times New Roman" w:hAnsi="Times New Roman" w:eastAsia="Times New Roman" w:cs="Times New Roman"/>
          <w:b/>
          <w:sz w:val="18"/>
          <w:szCs w:val="18"/>
          <w:rtl w:val="0"/>
        </w:rPr>
        <w:tab/>
      </w:r>
      <w:r>
        <w:rPr>
          <w:rFonts w:ascii="Times New Roman" w:hAnsi="Times New Roman" w:eastAsia="Times New Roman" w:cs="Times New Roman"/>
          <w:b/>
          <w:sz w:val="18"/>
          <w:szCs w:val="18"/>
          <w:rtl w:val="0"/>
        </w:rPr>
        <w:t xml:space="preserve">ОПРЕДЕЛЕНИЯ </w:t>
      </w:r>
    </w:p>
    <w:p w14:paraId="01DECBB6">
      <w:pPr>
        <w:spacing w:after="0" w:line="240" w:lineRule="auto"/>
        <w:jc w:val="both"/>
        <w:rPr>
          <w:rFonts w:ascii="Times New Roman" w:hAnsi="Times New Roman" w:eastAsia="Times New Roman" w:cs="Times New Roman"/>
          <w:sz w:val="18"/>
          <w:szCs w:val="18"/>
        </w:rPr>
      </w:pPr>
      <w:bookmarkStart w:id="0" w:name="_heading=h.gjdgxs" w:colFirst="0" w:colLast="0"/>
      <w:bookmarkEnd w:id="0"/>
      <w:r>
        <w:rPr>
          <w:rFonts w:ascii="Times New Roman" w:hAnsi="Times New Roman" w:eastAsia="Times New Roman" w:cs="Times New Roman"/>
          <w:sz w:val="18"/>
          <w:szCs w:val="18"/>
          <w:rtl w:val="0"/>
        </w:rPr>
        <w:t>1.1.</w:t>
      </w:r>
      <w:r>
        <w:rPr>
          <w:rFonts w:ascii="Times New Roman" w:hAnsi="Times New Roman" w:eastAsia="Times New Roman" w:cs="Times New Roman"/>
          <w:sz w:val="18"/>
          <w:szCs w:val="18"/>
          <w:rtl w:val="0"/>
        </w:rPr>
        <w:tab/>
      </w:r>
      <w:r>
        <w:rPr>
          <w:rFonts w:ascii="Times New Roman" w:hAnsi="Times New Roman" w:eastAsia="Times New Roman" w:cs="Times New Roman"/>
          <w:sz w:val="18"/>
          <w:szCs w:val="18"/>
          <w:rtl w:val="0"/>
        </w:rPr>
        <w:t>«</w:t>
      </w:r>
      <w:r>
        <w:rPr>
          <w:rFonts w:ascii="Times New Roman" w:hAnsi="Times New Roman" w:eastAsia="Times New Roman" w:cs="Times New Roman"/>
          <w:b/>
          <w:sz w:val="18"/>
          <w:szCs w:val="18"/>
          <w:u w:val="single"/>
          <w:rtl w:val="0"/>
        </w:rPr>
        <w:t>Конфиденциальная информация</w:t>
      </w:r>
      <w:r>
        <w:rPr>
          <w:rFonts w:ascii="Times New Roman" w:hAnsi="Times New Roman" w:eastAsia="Times New Roman" w:cs="Times New Roman"/>
          <w:sz w:val="18"/>
          <w:szCs w:val="18"/>
          <w:rtl w:val="0"/>
        </w:rPr>
        <w:t xml:space="preserve">» означает информацию, доступ к которой ограничен для широкого круга лиц, а также работников (например, если для доступа к такой информации требуется ввести личный логин и пароль, зарегистрироваться самостоятельно или такие заявки должны быть одобрены модератором), а также содержащуюся в переданных/передаваемых Принимающей стороне рабочих документах (вне зависимости от того, промаркирована ли такая информация грифами «конфиденциальная информация», «конфиденциально», «для служебного пользования» и т.п.). К Конфиденциальной информации Стороны относят в том числе любую коммерческую, финансовую, операционную, секреты производства (ноу-хау), информацию, относящуюся к программному коду, механизмам работы программного обеспечения или любую информацию, содержащуюся в базах данных, к которым Принимающей стороне был предоставлен доступ, информацию, содержащуюся в программных продуктах, использующихся в работе Организации: «1С», «Битрикс 24», «Энигма», сервис Корпоративной почты,  Телефония UIS, Телефония Скорозвон, Телефония Mango, СМС-сервис smsAERO, YouTrack, AmoCRM, сервисы Coven, Интернет-эквайринг, сервисы Статистики, сервисы обмена сообщениями (Mattermost и др.), сервис «Инфоклиника» и иных подобных программах, информацию, содержащуюся в облачных хранилищах (инфраструктура Google Clouds и YandexCloud), доступ к которым предоставляется Принимающей Стороне Раскрывающей Стороной. </w:t>
      </w:r>
    </w:p>
    <w:p w14:paraId="6592127F">
      <w:pPr>
        <w:spacing w:after="0" w:line="240" w:lineRule="auto"/>
        <w:jc w:val="both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rtl w:val="0"/>
        </w:rPr>
        <w:t>К Конфиденциальной информации не относится информация, которая:</w:t>
      </w:r>
    </w:p>
    <w:p w14:paraId="7AFBF868">
      <w:pPr>
        <w:spacing w:after="0" w:line="240" w:lineRule="auto"/>
        <w:jc w:val="both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rtl w:val="0"/>
        </w:rPr>
        <w:t>- уже является общедоступной по состоянию на дату подписания настоящего Соглашения или стала общедоступной после его подписания без нарушения положений настоящего Соглашения, независимо от воли и действий Сторон;</w:t>
      </w:r>
    </w:p>
    <w:p w14:paraId="76C1AD8F">
      <w:pPr>
        <w:spacing w:after="0" w:line="240" w:lineRule="auto"/>
        <w:jc w:val="both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rtl w:val="0"/>
        </w:rPr>
        <w:t>- не может составлять коммерческую тайну в соответствии с Действующим законодательством;</w:t>
      </w:r>
    </w:p>
    <w:p w14:paraId="03758DFE">
      <w:pPr>
        <w:spacing w:after="0" w:line="240" w:lineRule="auto"/>
        <w:jc w:val="both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rtl w:val="0"/>
        </w:rPr>
        <w:t>- письменно одобрена к раскрытию Раскрывающей стороной.</w:t>
      </w:r>
    </w:p>
    <w:p w14:paraId="0965C919">
      <w:pPr>
        <w:keepNext w:val="0"/>
        <w:keepLines w:val="0"/>
        <w:pageBreakBefore w:val="0"/>
        <w:widowControl/>
        <w:numPr>
          <w:ilvl w:val="1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К «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18"/>
          <w:szCs w:val="18"/>
          <w:u w:val="single"/>
          <w:shd w:val="clear" w:fill="auto"/>
          <w:vertAlign w:val="baseline"/>
          <w:rtl w:val="0"/>
        </w:rPr>
        <w:t>Коммерческой тайне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 xml:space="preserve">» Стороны относят информацию, в отношении которой установлен режим коммерческой тайны. </w:t>
      </w:r>
    </w:p>
    <w:p w14:paraId="743EEF30">
      <w:pPr>
        <w:keepNext w:val="0"/>
        <w:keepLines w:val="0"/>
        <w:pageBreakBefore w:val="0"/>
        <w:widowControl/>
        <w:numPr>
          <w:ilvl w:val="1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К «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18"/>
          <w:szCs w:val="18"/>
          <w:u w:val="single"/>
          <w:shd w:val="clear" w:fill="auto"/>
          <w:vertAlign w:val="baseline"/>
          <w:rtl w:val="0"/>
        </w:rPr>
        <w:t>Персональным данным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» Стороны относят любые личные данные клиентов, потенциальных клиентов или любых третьих лиц, которые передали свои данные Организации или полученные в рамках оказания услуг Организацией, в том числе полученные из любых источников, принадлежащих или находящихся в пользовании Организации, включая внутренние системы Организации (ФИО, адреса проживания, номера телефонов, данные паспортов и данные об оплате и задолженности в рамках работы с компанией, адреса страниц в социальных сетях, сведения о состоянии их здоровья, о судебных разбирательствах, в которых участвует клиент, содержание переписок и телефонных разговоров с клиентами и потенциальными клиентами, личные телефоны работников, их адреса, данные паспортов и данные о заработной плате и тп.</w:t>
      </w:r>
    </w:p>
    <w:p w14:paraId="49E92317">
      <w:pPr>
        <w:keepNext w:val="0"/>
        <w:keepLines w:val="0"/>
        <w:pageBreakBefore w:val="0"/>
        <w:widowControl/>
        <w:numPr>
          <w:ilvl w:val="1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«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18"/>
          <w:szCs w:val="18"/>
          <w:u w:val="single"/>
          <w:shd w:val="clear" w:fill="auto"/>
          <w:vertAlign w:val="baseline"/>
          <w:rtl w:val="0"/>
        </w:rPr>
        <w:t>Передача конфиденциальной информации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» и «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18"/>
          <w:szCs w:val="18"/>
          <w:u w:val="single"/>
          <w:shd w:val="clear" w:fill="auto"/>
          <w:vertAlign w:val="baseline"/>
          <w:rtl w:val="0"/>
        </w:rPr>
        <w:t>Ознакомление с персональными данными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» - ознакомление Принимающей Стороны Раскрывающей стороной с Конфиденциальной информацией, Коммерческой тайной, Конфиденциальной информацией путем передачи документов и информации Принимающей стороне.</w:t>
      </w:r>
    </w:p>
    <w:p w14:paraId="0D8B9045">
      <w:pPr>
        <w:keepNext w:val="0"/>
        <w:keepLines w:val="0"/>
        <w:pageBreakBefore w:val="0"/>
        <w:widowControl/>
        <w:numPr>
          <w:ilvl w:val="1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«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18"/>
          <w:szCs w:val="18"/>
          <w:u w:val="single"/>
          <w:shd w:val="clear" w:fill="auto"/>
          <w:vertAlign w:val="baseline"/>
          <w:rtl w:val="0"/>
        </w:rPr>
        <w:t>Разглашение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» - действия или бездействия, в результате которых Конфиденциальная информация, Коммерческая тайна или Персональные данные в любой возможной форме (устной, письменной, иной форме, в том числе с использованием технических средств) становится известной третьим лицам без согласия Раскрывающей стороны и вопреки настоящему Соглашению.</w:t>
      </w:r>
    </w:p>
    <w:p w14:paraId="7A1522AE">
      <w:pPr>
        <w:keepNext w:val="0"/>
        <w:keepLines w:val="0"/>
        <w:pageBreakBefore w:val="0"/>
        <w:widowControl/>
        <w:numPr>
          <w:ilvl w:val="1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«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18"/>
          <w:szCs w:val="18"/>
          <w:u w:val="single"/>
          <w:shd w:val="clear" w:fill="auto"/>
          <w:vertAlign w:val="baseline"/>
          <w:rtl w:val="0"/>
        </w:rPr>
        <w:t>Разрешенная цель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» – обработка (использование) Конфиденциальной информации для оценки возможных направлений сотрудничества Сторон, а в случае заключения Сторонами договоров - для исполнения Принимающей стороной обязательств по указанным договорам (в том числе трудовой функции).</w:t>
      </w:r>
    </w:p>
    <w:p w14:paraId="47D6488C">
      <w:pPr>
        <w:keepNext w:val="0"/>
        <w:keepLines w:val="0"/>
        <w:pageBreakBefore w:val="0"/>
        <w:widowControl/>
        <w:numPr>
          <w:ilvl w:val="1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«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18"/>
          <w:szCs w:val="18"/>
          <w:u w:val="single"/>
          <w:shd w:val="clear" w:fill="auto"/>
          <w:vertAlign w:val="baseline"/>
          <w:rtl w:val="0"/>
        </w:rPr>
        <w:t>Внутренние системы Организации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» – информационные системы, содержащие в себе базы данных необходимой Раскрывающей стороне информации, а также обеспечивающих обработку такой информации технологий и технических средств.</w:t>
      </w:r>
    </w:p>
    <w:p w14:paraId="67D3EA1F">
      <w:pPr>
        <w:keepNext w:val="0"/>
        <w:keepLines w:val="0"/>
        <w:pageBreakBefore w:val="0"/>
        <w:widowControl/>
        <w:numPr>
          <w:ilvl w:val="1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18"/>
          <w:szCs w:val="18"/>
          <w:u w:val="single"/>
          <w:shd w:val="clear" w:fill="auto"/>
          <w:vertAlign w:val="baseline"/>
          <w:rtl w:val="0"/>
        </w:rPr>
        <w:t>«Согласие на присоединение»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 xml:space="preserve"> 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- добровольное волеизъявление Принимающей стороны, оформленное собственноручной подписью или подписанное усиленной квалифицированной электронной подписью (УКЭП).</w:t>
      </w:r>
    </w:p>
    <w:p w14:paraId="5047DD17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</w:p>
    <w:p w14:paraId="2DFEA5B1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18"/>
          <w:szCs w:val="18"/>
        </w:rPr>
      </w:pPr>
      <w:r>
        <w:rPr>
          <w:rFonts w:ascii="Times New Roman" w:hAnsi="Times New Roman" w:eastAsia="Times New Roman" w:cs="Times New Roman"/>
          <w:b/>
          <w:sz w:val="18"/>
          <w:szCs w:val="18"/>
          <w:rtl w:val="0"/>
        </w:rPr>
        <w:t>2.</w:t>
      </w:r>
      <w:r>
        <w:rPr>
          <w:rFonts w:ascii="Times New Roman" w:hAnsi="Times New Roman" w:eastAsia="Times New Roman" w:cs="Times New Roman"/>
          <w:b/>
          <w:sz w:val="18"/>
          <w:szCs w:val="18"/>
          <w:rtl w:val="0"/>
        </w:rPr>
        <w:tab/>
      </w:r>
      <w:r>
        <w:rPr>
          <w:rFonts w:ascii="Times New Roman" w:hAnsi="Times New Roman" w:eastAsia="Times New Roman" w:cs="Times New Roman"/>
          <w:b/>
          <w:sz w:val="18"/>
          <w:szCs w:val="18"/>
          <w:rtl w:val="0"/>
        </w:rPr>
        <w:t>ПРЕДМЕТ СОГЛАШЕНИЯ</w:t>
      </w:r>
    </w:p>
    <w:p w14:paraId="14CDCC1A">
      <w:pPr>
        <w:spacing w:after="0" w:line="240" w:lineRule="auto"/>
        <w:jc w:val="both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rtl w:val="0"/>
        </w:rPr>
        <w:t>2.1. В рамках настоящего Соглашения Принимающая сторона гарантирует и заверяет Раскрывающую сторону в возможности сохранить Конфиденциальную информацию, Коммерческую тайну и Персональные данные в тайне, обладает достаточным опытом и навыками при работе, Конфиденциальной информацией, Коммерческой тайной и Персональными данными, а также с электронными ресурсами, схожими с Внутренними системами Организации, и обязуется:</w:t>
      </w:r>
    </w:p>
    <w:p w14:paraId="520E3726">
      <w:pPr>
        <w:keepNext w:val="0"/>
        <w:keepLines w:val="0"/>
        <w:pageBreakBefore w:val="0"/>
        <w:widowControl/>
        <w:numPr>
          <w:ilvl w:val="2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Принимать меры к неразглашению (сохранению в тайне): Конфиденциальной информации, Коммерческой тайны, Персональных данных.</w:t>
      </w:r>
    </w:p>
    <w:p w14:paraId="4E7BF9AB">
      <w:pPr>
        <w:keepNext w:val="0"/>
        <w:keepLines w:val="0"/>
        <w:pageBreakBefore w:val="0"/>
        <w:widowControl/>
        <w:numPr>
          <w:ilvl w:val="2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Использовать Конфиденциальную информацию, Коммерческую тайну, Персональные данные только для целей сбора и хранения такой информации Компанией (в том числе в целях исполнения трудовой функции Принимающей стороной).</w:t>
      </w:r>
    </w:p>
    <w:p w14:paraId="45F6FA40">
      <w:pPr>
        <w:keepNext w:val="0"/>
        <w:keepLines w:val="0"/>
        <w:pageBreakBefore w:val="0"/>
        <w:widowControl/>
        <w:numPr>
          <w:ilvl w:val="2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При получении доступа к Конфиденциальной информации, Коммерческой тайне, Персональным данным не разглашать такую информацию и принимать меры по её сохранению в тайне;</w:t>
      </w:r>
    </w:p>
    <w:p w14:paraId="050FA93E">
      <w:pPr>
        <w:keepNext w:val="0"/>
        <w:keepLines w:val="0"/>
        <w:pageBreakBefore w:val="0"/>
        <w:widowControl/>
        <w:numPr>
          <w:ilvl w:val="2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Не использовать Конфиденциальную информацию, Коммерческую тайну, Персональные данные для личных целей или в интересах третьих лиц;</w:t>
      </w:r>
    </w:p>
    <w:p w14:paraId="689BE665">
      <w:pPr>
        <w:keepNext w:val="0"/>
        <w:keepLines w:val="0"/>
        <w:pageBreakBefore w:val="0"/>
        <w:widowControl/>
        <w:numPr>
          <w:ilvl w:val="2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Не разглашать Конфиденциальную информацию, Коммерческую тайну, Персональные данные в кругу семьи, друзей, коллег и иных лиц, а также в социальных сетях и прочих средствах коммуникации или самовыражения;</w:t>
      </w:r>
    </w:p>
    <w:p w14:paraId="52DA8E58">
      <w:pPr>
        <w:keepNext w:val="0"/>
        <w:keepLines w:val="0"/>
        <w:pageBreakBefore w:val="0"/>
        <w:widowControl/>
        <w:numPr>
          <w:ilvl w:val="2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Не делать копии материальных носителей, содержащих Конфиденциальную информацию, Коммерческую тайну, Персональные данные;</w:t>
      </w:r>
    </w:p>
    <w:p w14:paraId="2B7BD5F8">
      <w:pPr>
        <w:keepNext w:val="0"/>
        <w:keepLines w:val="0"/>
        <w:pageBreakBefore w:val="0"/>
        <w:widowControl/>
        <w:numPr>
          <w:ilvl w:val="2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Не выносить за пределы территории Работодателя материальные носители с Конфиденциальной информацией, Коммерческой тайной, Персональными данными;</w:t>
      </w:r>
    </w:p>
    <w:p w14:paraId="3FF0374D">
      <w:pPr>
        <w:keepNext w:val="0"/>
        <w:keepLines w:val="0"/>
        <w:pageBreakBefore w:val="0"/>
        <w:widowControl/>
        <w:numPr>
          <w:ilvl w:val="2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Не пользоваться личной электронной почтой, мессенджерами, персональными личными устройствами при работе с Конфиденциальной информацией, Коммерческой тайной, Персональными данными;</w:t>
      </w:r>
    </w:p>
    <w:p w14:paraId="614B19B6">
      <w:pPr>
        <w:keepNext w:val="0"/>
        <w:keepLines w:val="0"/>
        <w:pageBreakBefore w:val="0"/>
        <w:widowControl/>
        <w:numPr>
          <w:ilvl w:val="2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Незамедлительно сообщить Раскрывающей стороне о фактах разглашения или угрозе разглашения Конфиденциальной информации, Коммерческой тайны, Персональных данных;</w:t>
      </w:r>
    </w:p>
    <w:p w14:paraId="16464C34">
      <w:pPr>
        <w:keepNext w:val="0"/>
        <w:keepLines w:val="0"/>
        <w:pageBreakBefore w:val="0"/>
        <w:widowControl/>
        <w:numPr>
          <w:ilvl w:val="2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Хранить пароли, логины, иную информацию, которая используется для входа во Внутренние системы Организации отдельно, в надёжно защищённых местах, своевременно менять их, не использовать один пароль более чем в одной Внутренней системе Организации;</w:t>
      </w:r>
    </w:p>
    <w:p w14:paraId="74B8721B">
      <w:pPr>
        <w:keepNext w:val="0"/>
        <w:keepLines w:val="0"/>
        <w:pageBreakBefore w:val="0"/>
        <w:widowControl/>
        <w:numPr>
          <w:ilvl w:val="2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При обнаружении или подозрении, что любое лицо разглашает, разгласило или создаёт угрозу разглашения или распространения Конфиденциальной информации, Коммерческой тайны, Персональных данных – незамедлительно сообщить об этом Организации (своему руководителю – в случае трудовых правоотношений, руководителю Организации, в случае иных правоотношений).</w:t>
      </w:r>
    </w:p>
    <w:p w14:paraId="722D561A">
      <w:pPr>
        <w:keepNext w:val="0"/>
        <w:keepLines w:val="0"/>
        <w:pageBreakBefore w:val="0"/>
        <w:widowControl/>
        <w:numPr>
          <w:ilvl w:val="2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При прекращении или расторжении трудового договора, а также выхода из правоотношений по иным договорам Принимающая сторона обязана передать Раскрывающей стороне имеющиеся в её пользовании материальные носители, содержащие Конфиденциальную информацию, Коммерческую тайну, Персональные данные или уничтожить всю такую информацию, включая все её копии.</w:t>
      </w:r>
    </w:p>
    <w:p w14:paraId="17A1F261">
      <w:pPr>
        <w:spacing w:after="0" w:line="240" w:lineRule="auto"/>
        <w:jc w:val="both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rtl w:val="0"/>
        </w:rPr>
        <w:t>2.2.</w:t>
      </w:r>
      <w:r>
        <w:rPr>
          <w:rFonts w:ascii="Times New Roman" w:hAnsi="Times New Roman" w:eastAsia="Times New Roman" w:cs="Times New Roman"/>
          <w:sz w:val="18"/>
          <w:szCs w:val="18"/>
          <w:rtl w:val="0"/>
        </w:rPr>
        <w:tab/>
      </w:r>
      <w:r>
        <w:rPr>
          <w:rFonts w:ascii="Times New Roman" w:hAnsi="Times New Roman" w:eastAsia="Times New Roman" w:cs="Times New Roman"/>
          <w:sz w:val="18"/>
          <w:szCs w:val="18"/>
          <w:rtl w:val="0"/>
        </w:rPr>
        <w:t>В рамках настоящего Соглашения Раскрывающая сторона обязуется:</w:t>
      </w:r>
    </w:p>
    <w:p w14:paraId="4FFA200F">
      <w:pPr>
        <w:keepNext w:val="0"/>
        <w:keepLines w:val="0"/>
        <w:pageBreakBefore w:val="0"/>
        <w:widowControl/>
        <w:numPr>
          <w:ilvl w:val="2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Принять все необходимые меры для защиты Конфиденциальной информации, Коммерческой тайны, Персональных данных;</w:t>
      </w:r>
    </w:p>
    <w:p w14:paraId="508E8BEA">
      <w:pPr>
        <w:keepNext w:val="0"/>
        <w:keepLines w:val="0"/>
        <w:pageBreakBefore w:val="0"/>
        <w:widowControl/>
        <w:numPr>
          <w:ilvl w:val="2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Осуществлять Передачу Конфиденциальной информации, ознакамливать с Персональными данными Получающую сторону только после подписания настоящего Соглашения.</w:t>
      </w:r>
    </w:p>
    <w:p w14:paraId="51D01186">
      <w:pPr>
        <w:keepNext w:val="0"/>
        <w:keepLines w:val="0"/>
        <w:pageBreakBefore w:val="0"/>
        <w:widowControl/>
        <w:numPr>
          <w:ilvl w:val="2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Для получения доступа Получающей стороны генерировать и выдавать пароли и логины (обеспечивать возможность доступа) безопасным способом, исключающим получение паролей третьими лицами;</w:t>
      </w:r>
    </w:p>
    <w:p w14:paraId="278CA5B6">
      <w:pPr>
        <w:keepNext w:val="0"/>
        <w:keepLines w:val="0"/>
        <w:pageBreakBefore w:val="0"/>
        <w:widowControl/>
        <w:numPr>
          <w:ilvl w:val="2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Не передавать третьим лицам (в том числе работникам Организации) логины/пароли от личных учетных записей во внутренних системах Организации.</w:t>
      </w:r>
    </w:p>
    <w:p w14:paraId="26697094">
      <w:pPr>
        <w:keepNext w:val="0"/>
        <w:keepLines w:val="0"/>
        <w:pageBreakBefore w:val="0"/>
        <w:widowControl/>
        <w:numPr>
          <w:ilvl w:val="1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504" w:right="0" w:hanging="504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 xml:space="preserve">Данное Соглашение является Договором присоединения и регулируется ст. 428 Гражданского кодекса РФ. </w:t>
      </w:r>
    </w:p>
    <w:p w14:paraId="78865ABB">
      <w:pPr>
        <w:keepNext w:val="0"/>
        <w:keepLines w:val="0"/>
        <w:pageBreakBefore w:val="0"/>
        <w:widowControl/>
        <w:numPr>
          <w:ilvl w:val="1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504" w:right="0" w:hanging="504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Подписывая данное Соглашение собственноручной подписью или при помощи УКЭП, Принимающая сторона выражает согласие на присоединение и гарантирует соблюдение условий указанного Соглашения.</w:t>
      </w:r>
    </w:p>
    <w:p w14:paraId="2E080419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18"/>
          <w:szCs w:val="18"/>
        </w:rPr>
      </w:pPr>
    </w:p>
    <w:p w14:paraId="6EF94FE6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18"/>
          <w:szCs w:val="18"/>
        </w:rPr>
      </w:pPr>
      <w:r>
        <w:rPr>
          <w:rFonts w:ascii="Times New Roman" w:hAnsi="Times New Roman" w:eastAsia="Times New Roman" w:cs="Times New Roman"/>
          <w:b/>
          <w:sz w:val="18"/>
          <w:szCs w:val="18"/>
          <w:rtl w:val="0"/>
        </w:rPr>
        <w:t>3.</w:t>
      </w:r>
      <w:r>
        <w:rPr>
          <w:rFonts w:ascii="Times New Roman" w:hAnsi="Times New Roman" w:eastAsia="Times New Roman" w:cs="Times New Roman"/>
          <w:b/>
          <w:sz w:val="18"/>
          <w:szCs w:val="18"/>
          <w:rtl w:val="0"/>
        </w:rPr>
        <w:tab/>
      </w:r>
      <w:r>
        <w:rPr>
          <w:rFonts w:ascii="Times New Roman" w:hAnsi="Times New Roman" w:eastAsia="Times New Roman" w:cs="Times New Roman"/>
          <w:b/>
          <w:sz w:val="18"/>
          <w:szCs w:val="18"/>
          <w:rtl w:val="0"/>
        </w:rPr>
        <w:t>ПРАВО СОБСТВЕННОСТИ</w:t>
      </w:r>
    </w:p>
    <w:p w14:paraId="475C2280">
      <w:pPr>
        <w:spacing w:after="0" w:line="240" w:lineRule="auto"/>
        <w:jc w:val="both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rtl w:val="0"/>
        </w:rPr>
        <w:t>3.1. Настоящее Соглашение не предоставляет Принимающей стороне никаких прав в отношении Конфиденциальной информации, Коммерческой тайны и Персональных данных кроме права доступа и использования, необходимого для Разрешенной цели настоящего Соглашения. Конфиденциальная информация остается собственностью Раскрывающей стороны. Ни Принимающая сторона, ни какие-либо иные лица от ее имени обязуются не обращаться за регистрацией товарного знака и/или знака обслуживания, патента, или полезной модели, промышленного образца, ноу-хау, а также иных прав на результаты интеллектуальной деятельности в отношении Конфиденциальной информации или Коммерческой тайны, или какой-либо ее части.</w:t>
      </w:r>
    </w:p>
    <w:p w14:paraId="101778DA">
      <w:pPr>
        <w:spacing w:after="0" w:line="240" w:lineRule="auto"/>
        <w:jc w:val="center"/>
        <w:rPr>
          <w:rFonts w:ascii="Times New Roman" w:hAnsi="Times New Roman" w:eastAsia="Times New Roman" w:cs="Times New Roman"/>
          <w:sz w:val="18"/>
          <w:szCs w:val="18"/>
        </w:rPr>
      </w:pPr>
    </w:p>
    <w:p w14:paraId="3CDE545D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18"/>
          <w:szCs w:val="18"/>
        </w:rPr>
      </w:pPr>
      <w:r>
        <w:rPr>
          <w:rFonts w:ascii="Times New Roman" w:hAnsi="Times New Roman" w:eastAsia="Times New Roman" w:cs="Times New Roman"/>
          <w:b/>
          <w:sz w:val="18"/>
          <w:szCs w:val="18"/>
          <w:rtl w:val="0"/>
        </w:rPr>
        <w:t>4.</w:t>
      </w:r>
      <w:r>
        <w:rPr>
          <w:rFonts w:ascii="Times New Roman" w:hAnsi="Times New Roman" w:eastAsia="Times New Roman" w:cs="Times New Roman"/>
          <w:b/>
          <w:sz w:val="18"/>
          <w:szCs w:val="18"/>
          <w:rtl w:val="0"/>
        </w:rPr>
        <w:tab/>
      </w:r>
      <w:r>
        <w:rPr>
          <w:rFonts w:ascii="Times New Roman" w:hAnsi="Times New Roman" w:eastAsia="Times New Roman" w:cs="Times New Roman"/>
          <w:b/>
          <w:sz w:val="18"/>
          <w:szCs w:val="18"/>
          <w:rtl w:val="0"/>
        </w:rPr>
        <w:t>СРОК ДЕЙСТВИЯ</w:t>
      </w:r>
    </w:p>
    <w:p w14:paraId="533779D7">
      <w:pPr>
        <w:spacing w:after="0" w:line="240" w:lineRule="auto"/>
        <w:jc w:val="both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rtl w:val="0"/>
        </w:rPr>
        <w:t>4.1. Настоящее Соглашение вступает в силу с момента подписания обеими Сторонами. Принимающая сторона обязана соблюдать конфиденциальность и принимать меры по охранению разглашения Конфиденциальной информации, Коммерческой тайны и Персональных данных в течение пяти лет с момента полного прекращения правоотношений Сторон и Передачи Конфиденциальной информации Принимающей стороне.</w:t>
      </w:r>
    </w:p>
    <w:p w14:paraId="3648D82A">
      <w:pPr>
        <w:spacing w:after="0" w:line="240" w:lineRule="auto"/>
        <w:jc w:val="both"/>
        <w:rPr>
          <w:rFonts w:ascii="Times New Roman" w:hAnsi="Times New Roman" w:eastAsia="Times New Roman" w:cs="Times New Roman"/>
          <w:sz w:val="18"/>
          <w:szCs w:val="18"/>
        </w:rPr>
      </w:pPr>
    </w:p>
    <w:p w14:paraId="2C978D74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18"/>
          <w:szCs w:val="18"/>
        </w:rPr>
      </w:pPr>
      <w:bookmarkStart w:id="1" w:name="_heading=h.30j0zll" w:colFirst="0" w:colLast="0"/>
      <w:bookmarkEnd w:id="1"/>
      <w:r>
        <w:rPr>
          <w:rFonts w:ascii="Times New Roman" w:hAnsi="Times New Roman" w:eastAsia="Times New Roman" w:cs="Times New Roman"/>
          <w:b/>
          <w:sz w:val="18"/>
          <w:szCs w:val="18"/>
          <w:rtl w:val="0"/>
        </w:rPr>
        <w:t>5.</w:t>
      </w:r>
      <w:r>
        <w:rPr>
          <w:rFonts w:ascii="Times New Roman" w:hAnsi="Times New Roman" w:eastAsia="Times New Roman" w:cs="Times New Roman"/>
          <w:sz w:val="18"/>
          <w:szCs w:val="18"/>
          <w:rtl w:val="0"/>
        </w:rPr>
        <w:tab/>
      </w:r>
      <w:r>
        <w:rPr>
          <w:rFonts w:ascii="Times New Roman" w:hAnsi="Times New Roman" w:eastAsia="Times New Roman" w:cs="Times New Roman"/>
          <w:b/>
          <w:sz w:val="18"/>
          <w:szCs w:val="18"/>
          <w:rtl w:val="0"/>
        </w:rPr>
        <w:t>ОТВЕТСТВЕННОСТЬ ЗА РАЗГЛАШЕНИЕ КОНФИДЕНЦИАЛЬНОЙ ИНФОРМАЦИИ</w:t>
      </w:r>
    </w:p>
    <w:p w14:paraId="566BE812">
      <w:pPr>
        <w:spacing w:after="0" w:line="240" w:lineRule="auto"/>
        <w:jc w:val="both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rtl w:val="0"/>
        </w:rPr>
        <w:t>5.1. В случае разглашения Конфиденциальной информации, Коммерческой тайны или Персональных данных третьим лицам/третьему лицу, а также в случае любого иного нарушения положений настоящего Соглашения, Принимающая сторона, обязана возместить все понесенные Раскрывающей стороной убытки, включая упущенную выгоду.</w:t>
      </w:r>
    </w:p>
    <w:p w14:paraId="72132441">
      <w:pPr>
        <w:spacing w:after="0" w:line="240" w:lineRule="auto"/>
        <w:jc w:val="both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rtl w:val="0"/>
        </w:rPr>
        <w:t>5.2. Стороны установили, что при любом случае разглашения Конфиденциальной информации или Коммерческой тайны, или Персональных данных, факт причинения вреда Организации очевиден, не подлежит оспариванию и подлежит возмещению в размере, установленном настоящим Соглашением, но не снимает обязательств с Принимающей стороны по дальнейшему соблюдению сохранения информации в тайне.</w:t>
      </w:r>
    </w:p>
    <w:p w14:paraId="08C175AA">
      <w:pPr>
        <w:spacing w:after="0" w:line="240" w:lineRule="auto"/>
        <w:jc w:val="both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rtl w:val="0"/>
        </w:rPr>
        <w:t>5.3. В случае разглашения Конфиденциальной информации, Коммерческой тайны или Персональных данных (как умышленного, так и неосторожного), Принимающая сторона обязана выплатить Раскрывающей стороне штраф в размере 3 000 000 (Три миллиона) рублей 00 коп. по первому требованию Раскрывающей стороны.</w:t>
      </w:r>
    </w:p>
    <w:p w14:paraId="7687FBA5">
      <w:pPr>
        <w:spacing w:after="0" w:line="240" w:lineRule="auto"/>
        <w:jc w:val="both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rtl w:val="0"/>
        </w:rPr>
        <w:t>5.4. В случае передачи третьим лицам (включая иных работников Организации) Логина/пароля от личной учетной записи во внутренних системах Организации, Принимающая сторона обязана выплатить Организации штраф в размере 100 000 рублей.</w:t>
      </w:r>
    </w:p>
    <w:p w14:paraId="64BF2A2E">
      <w:pPr>
        <w:spacing w:after="0" w:line="240" w:lineRule="auto"/>
        <w:jc w:val="both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rtl w:val="0"/>
        </w:rPr>
        <w:t xml:space="preserve">5.5. Стороны договорились, что штраф, предусмотренный п. 5.3, 5.4., в любом случае не подлежит уменьшению, поскольку установлен с учетом причинённого вреда, репутационных потерь, расходов на создание аналогичного раскрытому результата или возмещению вреда третьим лицам (которым причинён вред в связи с разглашением), уменьшения размеров соответствующего штрафа при судебных разбирательствах, проведению расследования и всех сопутствующих процедур. </w:t>
      </w:r>
    </w:p>
    <w:p w14:paraId="4AFCFB0C">
      <w:pPr>
        <w:spacing w:after="0" w:line="240" w:lineRule="auto"/>
        <w:jc w:val="both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rtl w:val="0"/>
        </w:rPr>
        <w:t>5.6. До подписания настоящего Соглашения Принимающая сторона была ознакомлена с принципами работы Внутренних систем Организации, перечнем информации, которая содержится в них и регламентами работы с такими системами.</w:t>
      </w:r>
    </w:p>
    <w:p w14:paraId="06BCB148">
      <w:pPr>
        <w:spacing w:after="0" w:line="240" w:lineRule="auto"/>
        <w:jc w:val="both"/>
        <w:rPr>
          <w:rFonts w:ascii="Times New Roman" w:hAnsi="Times New Roman" w:eastAsia="Times New Roman" w:cs="Times New Roman"/>
          <w:sz w:val="18"/>
          <w:szCs w:val="18"/>
        </w:rPr>
      </w:pPr>
    </w:p>
    <w:tbl>
      <w:tblPr>
        <w:tblStyle w:val="23"/>
        <w:tblW w:w="9889" w:type="dxa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43"/>
        <w:gridCol w:w="5346"/>
      </w:tblGrid>
      <w:tr w14:paraId="31CCEC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A9491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rtl w:val="0"/>
              </w:rPr>
              <w:t>Раскрывающая сторона / Организация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9210F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rtl w:val="0"/>
              </w:rPr>
              <w:t>Принимающая сторона</w:t>
            </w:r>
          </w:p>
        </w:tc>
      </w:tr>
      <w:tr w14:paraId="62E690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2" w:hRule="atLeast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98E67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rtl w:val="0"/>
              </w:rPr>
              <w:t>ООО «ЛЕГАЛТЭК» в лице Генерального директора Лопатухина Б.В.</w:t>
            </w:r>
          </w:p>
          <w:p w14:paraId="634179E2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rtl w:val="0"/>
              </w:rPr>
              <w:t xml:space="preserve">ИНН: 9731078560 / КПП: </w:t>
            </w:r>
            <w:r>
              <w:rPr>
                <w:rFonts w:hint="default" w:ascii="Times New Roman" w:hAnsi="Times New Roman" w:eastAsia="Times New Roman" w:cs="Times New Roman"/>
                <w:b/>
                <w:sz w:val="18"/>
                <w:szCs w:val="18"/>
                <w:rtl w:val="0"/>
                <w:lang w:val="en-US" w:eastAsia="zh-CN"/>
              </w:rPr>
              <w:t>550501001</w:t>
            </w:r>
          </w:p>
          <w:p w14:paraId="13680CD7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rtl w:val="0"/>
              </w:rPr>
              <w:t>ОГРН: 1217700202510</w:t>
            </w:r>
          </w:p>
          <w:p w14:paraId="3B01A31E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18"/>
                <w:szCs w:val="18"/>
                <w:rtl w:val="0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rtl w:val="0"/>
              </w:rPr>
              <w:t xml:space="preserve">Юридический адрес: </w:t>
            </w:r>
            <w:r>
              <w:rPr>
                <w:rFonts w:hint="default" w:ascii="Times New Roman" w:hAnsi="Times New Roman" w:eastAsia="Times New Roman" w:cs="Times New Roman"/>
                <w:b/>
                <w:sz w:val="18"/>
                <w:szCs w:val="18"/>
                <w:rtl w:val="0"/>
                <w:lang w:val="en-US" w:eastAsia="zh-CN"/>
              </w:rPr>
              <w:t xml:space="preserve">644121, ОМСКАЯ ОБЛАСТЬ, Г.О. ГОРОД </w:t>
            </w:r>
            <w:bookmarkStart w:id="3" w:name="_GoBack"/>
            <w:bookmarkEnd w:id="3"/>
            <w:r>
              <w:rPr>
                <w:rFonts w:hint="default" w:ascii="Times New Roman" w:hAnsi="Times New Roman" w:eastAsia="Times New Roman" w:cs="Times New Roman"/>
                <w:b/>
                <w:sz w:val="18"/>
                <w:szCs w:val="18"/>
                <w:rtl w:val="0"/>
                <w:lang w:val="en-US" w:eastAsia="zh-CN"/>
              </w:rPr>
              <w:t xml:space="preserve">ОМСК, Г. ОМСК, УЛ СУЛЕЙМАНА </w:t>
            </w:r>
          </w:p>
          <w:p w14:paraId="357A334B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18"/>
                <w:szCs w:val="18"/>
                <w:rtl w:val="0"/>
                <w:lang w:val="en-US" w:eastAsia="zh-CN"/>
              </w:rPr>
              <w:t>СТАЛЬСКОГО, Д. 12, ПОМЕЩ. 3П</w:t>
            </w:r>
          </w:p>
          <w:p w14:paraId="2E2419C4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rtl w:val="0"/>
              </w:rPr>
              <w:t>Почтовый адрес: 107031, Г.МОСКВА, ВН.ТЕР.Г. МУНИЦИПАЛЬНЫЙ ОКРУГ ТВЕРСКОЙ, ПЕР ДМИТРОВСКИЙ, Д. 9</w:t>
            </w:r>
          </w:p>
          <w:p w14:paraId="48CE61E0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</w:pPr>
          </w:p>
          <w:p w14:paraId="17B2ABB1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  <w:p w14:paraId="132BF21E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</w:pPr>
          </w:p>
          <w:p w14:paraId="2F22B3BF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</w:pPr>
          </w:p>
          <w:p w14:paraId="7A47474B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</w:pPr>
          </w:p>
          <w:p w14:paraId="7D792836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</w:pPr>
          </w:p>
          <w:p w14:paraId="6D97AA70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</w:pPr>
          </w:p>
          <w:p w14:paraId="7D85F4F1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</w:pPr>
          </w:p>
          <w:p w14:paraId="40527316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</w:pPr>
          </w:p>
          <w:p w14:paraId="76337D7D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</w:pPr>
          </w:p>
          <w:p w14:paraId="3FCB6032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</w:pPr>
          </w:p>
          <w:p w14:paraId="0A8D6BF0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</w:pPr>
          </w:p>
          <w:p w14:paraId="24D70BF6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</w:pP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211BF">
            <w:pPr>
              <w:widowControl w:val="0"/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rtl w:val="0"/>
              </w:rPr>
              <w:t>ФИО:__________________________________________________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rtl w:val="0"/>
              </w:rPr>
              <w:br w:type="textWrapping"/>
            </w:r>
          </w:p>
          <w:p w14:paraId="0D1D19AD">
            <w:pPr>
              <w:widowControl w:val="0"/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rtl w:val="0"/>
              </w:rPr>
              <w:t>Паспорт: ____________ № _____________________________</w:t>
            </w:r>
          </w:p>
          <w:p w14:paraId="5F53543E">
            <w:pPr>
              <w:widowControl w:val="0"/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  <w:p w14:paraId="0175BC04">
            <w:pPr>
              <w:widowControl w:val="0"/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rtl w:val="0"/>
              </w:rPr>
              <w:t>Выдан «_________» _______________ __________________ г.</w:t>
            </w:r>
          </w:p>
          <w:p w14:paraId="2BD863CB">
            <w:pPr>
              <w:widowControl w:val="0"/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  <w:p w14:paraId="2B5F5356">
            <w:pPr>
              <w:widowControl w:val="0"/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rtl w:val="0"/>
              </w:rPr>
              <w:t>_________________________________________________________</w:t>
            </w:r>
          </w:p>
          <w:p w14:paraId="508BE006">
            <w:pPr>
              <w:widowControl w:val="0"/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  <w:p w14:paraId="71079D75">
            <w:pPr>
              <w:widowControl w:val="0"/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rtl w:val="0"/>
              </w:rPr>
              <w:t>_________________________________________________________</w:t>
            </w:r>
          </w:p>
          <w:p w14:paraId="24FA233D">
            <w:pPr>
              <w:widowControl w:val="0"/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  <w:p w14:paraId="0F6AAE5A">
            <w:pPr>
              <w:widowControl w:val="0"/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rtl w:val="0"/>
              </w:rPr>
              <w:t>ИНН: _________________________________________________</w:t>
            </w:r>
          </w:p>
          <w:p w14:paraId="1C67CD35">
            <w:pPr>
              <w:widowControl w:val="0"/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  <w:p w14:paraId="3C1882C5">
            <w:pPr>
              <w:widowControl w:val="0"/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rtl w:val="0"/>
              </w:rPr>
              <w:t>Адрес регистрации: _______________________________________________</w:t>
            </w:r>
          </w:p>
          <w:p w14:paraId="3CDE6EB5">
            <w:pPr>
              <w:widowControl w:val="0"/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  <w:p w14:paraId="28CB2CEB">
            <w:pPr>
              <w:widowControl w:val="0"/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rtl w:val="0"/>
              </w:rPr>
              <w:t>________________________________________________________</w:t>
            </w:r>
          </w:p>
          <w:p w14:paraId="53D135A8">
            <w:pPr>
              <w:widowControl w:val="0"/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  <w:p w14:paraId="546853FB">
            <w:pPr>
              <w:widowControl w:val="0"/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rtl w:val="0"/>
              </w:rPr>
              <w:t>Дата рождения:____________________________________</w:t>
            </w:r>
          </w:p>
          <w:p w14:paraId="2FC7F597">
            <w:pPr>
              <w:widowControl w:val="0"/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  <w:p w14:paraId="63FB6D49">
            <w:pPr>
              <w:widowControl w:val="0"/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  <w:p w14:paraId="5036479C">
            <w:pPr>
              <w:widowControl w:val="0"/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  <w:p w14:paraId="22BFAA54">
            <w:pPr>
              <w:widowControl w:val="0"/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  <w:p w14:paraId="1C62E6E3">
            <w:pPr>
              <w:widowControl w:val="0"/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bookmarkStart w:id="2" w:name="_heading=h.1fob9te" w:colFirst="0" w:colLast="0"/>
            <w:bookmarkEnd w:id="2"/>
            <w:r>
              <w:rPr>
                <w:rFonts w:ascii="Times New Roman" w:hAnsi="Times New Roman" w:eastAsia="Times New Roman" w:cs="Times New Roman"/>
                <w:sz w:val="18"/>
                <w:szCs w:val="18"/>
                <w:rtl w:val="0"/>
              </w:rPr>
              <w:t>__________________________/_____________________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rtl w:val="0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rtl w:val="0"/>
              </w:rPr>
              <w:br w:type="textWrapping"/>
            </w:r>
          </w:p>
        </w:tc>
      </w:tr>
    </w:tbl>
    <w:p w14:paraId="5EA52C61">
      <w:pPr>
        <w:spacing w:after="0" w:line="240" w:lineRule="auto"/>
        <w:jc w:val="both"/>
        <w:rPr>
          <w:rFonts w:ascii="Times New Roman" w:hAnsi="Times New Roman" w:eastAsia="Times New Roman" w:cs="Times New Roman"/>
          <w:sz w:val="18"/>
          <w:szCs w:val="18"/>
        </w:rPr>
      </w:pPr>
    </w:p>
    <w:sectPr>
      <w:headerReference r:id="rId5" w:type="default"/>
      <w:footerReference r:id="rId6" w:type="default"/>
      <w:pgSz w:w="11906" w:h="16838"/>
      <w:pgMar w:top="1686" w:right="707" w:bottom="851" w:left="1418" w:header="284" w:footer="708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18F710"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tabs>
        <w:tab w:val="center" w:pos="4677"/>
        <w:tab w:val="right" w:pos="9355"/>
      </w:tabs>
      <w:spacing w:after="0" w:line="240" w:lineRule="auto"/>
      <w:rPr>
        <w:color w:val="000000"/>
        <w:sz w:val="18"/>
        <w:szCs w:val="18"/>
      </w:rPr>
    </w:pPr>
    <w:r>
      <w:rPr>
        <w:color w:val="000000"/>
        <w:sz w:val="18"/>
        <w:szCs w:val="18"/>
        <w:rtl w:val="0"/>
      </w:rPr>
      <w:t>С условиями Договора присоединения ознакомлен (а) и согласен (согласна)__________________________/____________________________________</w:t>
    </w:r>
  </w:p>
  <w:p w14:paraId="119A063F"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652A0B"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677"/>
        <w:tab w:val="right" w:pos="9355"/>
      </w:tabs>
      <w:spacing w:before="0" w:after="0" w:line="240" w:lineRule="auto"/>
      <w:ind w:left="0" w:right="0" w:firstLine="0"/>
      <w:jc w:val="left"/>
      <w:rPr>
        <w:rFonts w:ascii="Calibri" w:hAnsi="Calibri" w:eastAsia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pPr>
    <w:r>
      <w:rPr>
        <w:rFonts w:ascii="Calibri" w:hAnsi="Calibri" w:eastAsia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  <w:drawing>
        <wp:inline distT="0" distB="0" distL="0" distR="0">
          <wp:extent cx="2017395" cy="708660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17437" cy="7088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Calibri" w:hAnsi="Calibri" w:eastAsia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  <w:rtl w:val="0"/>
      </w:rPr>
      <w:tab/>
    </w:r>
    <w:r>
      <w:rPr>
        <w:rFonts w:ascii="Calibri" w:hAnsi="Calibri" w:eastAsia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  <w:rtl w:val="0"/>
      </w:rPr>
      <w:tab/>
    </w:r>
    <w:r>
      <w:rPr>
        <w:rFonts w:ascii="Times New Roman" w:hAnsi="Times New Roman" w:eastAsia="Times New Roman" w:cs="Times New Roman"/>
        <w:b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  <w:drawing>
        <wp:inline distT="0" distB="0" distL="0" distR="0">
          <wp:extent cx="1965325" cy="709930"/>
          <wp:effectExtent l="0" t="0" r="0" b="0"/>
          <wp:docPr id="5" name="image1.png" descr="C:\Users\Павел Шашин\AppData\Local\Microsoft\Windows\INetCache\Content.Word\╨╗╨╡╨│╨░╨╗╤В╤Н╨║_en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1.png" descr="C:\Users\Павел Шашин\AppData\Local\Microsoft\Windows\INetCache\Content.Word\╨╗╨╡╨│╨░╨╗╤В╤Н╨║_en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65542" cy="7102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D52BDD6"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677"/>
        <w:tab w:val="right" w:pos="9355"/>
      </w:tabs>
      <w:spacing w:before="0" w:after="0" w:line="240" w:lineRule="auto"/>
      <w:ind w:left="0" w:right="0" w:firstLine="0"/>
      <w:jc w:val="left"/>
      <w:rPr>
        <w:rFonts w:ascii="Calibri" w:hAnsi="Calibri" w:eastAsia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2"/>
      <w:numFmt w:val="decimal"/>
      <w:lvlText w:val="%1."/>
      <w:lvlJc w:val="left"/>
      <w:pPr>
        <w:ind w:left="504" w:hanging="504"/>
      </w:pPr>
    </w:lvl>
    <w:lvl w:ilvl="1" w:tentative="0">
      <w:start w:val="1"/>
      <w:numFmt w:val="decimal"/>
      <w:lvlText w:val="%1.%2."/>
      <w:lvlJc w:val="left"/>
      <w:pPr>
        <w:ind w:left="504" w:hanging="504"/>
      </w:pPr>
    </w:lvl>
    <w:lvl w:ilvl="2" w:tentative="0">
      <w:start w:val="1"/>
      <w:numFmt w:val="decimal"/>
      <w:lvlText w:val="%1.%2.%3."/>
      <w:lvlJc w:val="left"/>
      <w:pPr>
        <w:ind w:left="720" w:hanging="720"/>
      </w:pPr>
    </w:lvl>
    <w:lvl w:ilvl="3" w:tentative="0">
      <w:start w:val="1"/>
      <w:numFmt w:val="decimal"/>
      <w:lvlText w:val="%1.%2.%3.%4."/>
      <w:lvlJc w:val="left"/>
      <w:pPr>
        <w:ind w:left="720" w:hanging="720"/>
      </w:pPr>
    </w:lvl>
    <w:lvl w:ilvl="4" w:tentative="0">
      <w:start w:val="1"/>
      <w:numFmt w:val="decimal"/>
      <w:lvlText w:val="%1.%2.%3.%4.%5."/>
      <w:lvlJc w:val="left"/>
      <w:pPr>
        <w:ind w:left="1080" w:hanging="1080"/>
      </w:pPr>
    </w:lvl>
    <w:lvl w:ilvl="5" w:tentative="0">
      <w:start w:val="1"/>
      <w:numFmt w:val="decimal"/>
      <w:lvlText w:val="%1.%2.%3.%4.%5.%6."/>
      <w:lvlJc w:val="left"/>
      <w:pPr>
        <w:ind w:left="1080" w:hanging="1080"/>
      </w:pPr>
    </w:lvl>
    <w:lvl w:ilvl="6" w:tentative="0">
      <w:start w:val="1"/>
      <w:numFmt w:val="decimal"/>
      <w:lvlText w:val="%1.%2.%3.%4.%5.%6.%7."/>
      <w:lvlJc w:val="left"/>
      <w:pPr>
        <w:ind w:left="1440" w:hanging="1440"/>
      </w:pPr>
    </w:lvl>
    <w:lvl w:ilvl="7" w:tentative="0">
      <w:start w:val="1"/>
      <w:numFmt w:val="decimal"/>
      <w:lvlText w:val="%1.%2.%3.%4.%5.%6.%7.%8."/>
      <w:lvlJc w:val="left"/>
      <w:pPr>
        <w:ind w:left="1440" w:hanging="1440"/>
      </w:pPr>
    </w:lvl>
    <w:lvl w:ilvl="8" w:tentative="0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2"/>
      <w:numFmt w:val="decimal"/>
      <w:lvlText w:val="%1.%2."/>
      <w:lvlJc w:val="left"/>
      <w:pPr>
        <w:ind w:left="720" w:hanging="360"/>
      </w:pPr>
    </w:lvl>
    <w:lvl w:ilvl="2" w:tentative="0">
      <w:start w:val="1"/>
      <w:numFmt w:val="decimal"/>
      <w:lvlText w:val="%1.%2.%3."/>
      <w:lvlJc w:val="left"/>
      <w:pPr>
        <w:ind w:left="1440" w:hanging="720"/>
      </w:pPr>
    </w:lvl>
    <w:lvl w:ilvl="3" w:tentative="0">
      <w:start w:val="1"/>
      <w:numFmt w:val="decimal"/>
      <w:lvlText w:val="%1.%2.%3.%4."/>
      <w:lvlJc w:val="left"/>
      <w:pPr>
        <w:ind w:left="1800" w:hanging="720"/>
      </w:pPr>
    </w:lvl>
    <w:lvl w:ilvl="4" w:tentative="0">
      <w:start w:val="1"/>
      <w:numFmt w:val="decimal"/>
      <w:lvlText w:val="%1.%2.%3.%4.%5."/>
      <w:lvlJc w:val="left"/>
      <w:pPr>
        <w:ind w:left="2520" w:hanging="1080"/>
      </w:pPr>
    </w:lvl>
    <w:lvl w:ilvl="5" w:tentative="0">
      <w:start w:val="1"/>
      <w:numFmt w:val="decimal"/>
      <w:lvlText w:val="%1.%2.%3.%4.%5.%6."/>
      <w:lvlJc w:val="left"/>
      <w:pPr>
        <w:ind w:left="2880" w:hanging="1080"/>
      </w:pPr>
    </w:lvl>
    <w:lvl w:ilvl="6" w:tentative="0">
      <w:start w:val="1"/>
      <w:numFmt w:val="decimal"/>
      <w:lvlText w:val="%1.%2.%3.%4.%5.%6.%7."/>
      <w:lvlJc w:val="left"/>
      <w:pPr>
        <w:ind w:left="3600" w:hanging="1440"/>
      </w:pPr>
    </w:lvl>
    <w:lvl w:ilvl="7" w:tentative="0">
      <w:start w:val="1"/>
      <w:numFmt w:val="decimal"/>
      <w:lvlText w:val="%1.%2.%3.%4.%5.%6.%7.%8."/>
      <w:lvlJc w:val="left"/>
      <w:pPr>
        <w:ind w:left="3960" w:hanging="1440"/>
      </w:pPr>
    </w:lvl>
    <w:lvl w:ilvl="8" w:tentative="0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">
    <w:nsid w:val="59ADCABA"/>
    <w:multiLevelType w:val="multilevel"/>
    <w:tmpl w:val="59ADCABA"/>
    <w:lvl w:ilvl="0" w:tentative="0">
      <w:start w:val="2"/>
      <w:numFmt w:val="decimal"/>
      <w:lvlText w:val="%1."/>
      <w:lvlJc w:val="left"/>
      <w:pPr>
        <w:ind w:left="504" w:hanging="504"/>
      </w:pPr>
    </w:lvl>
    <w:lvl w:ilvl="1" w:tentative="0">
      <w:start w:val="2"/>
      <w:numFmt w:val="decimal"/>
      <w:lvlText w:val="%1.%2."/>
      <w:lvlJc w:val="left"/>
      <w:pPr>
        <w:ind w:left="504" w:hanging="504"/>
      </w:pPr>
    </w:lvl>
    <w:lvl w:ilvl="2" w:tentative="0">
      <w:start w:val="1"/>
      <w:numFmt w:val="decimal"/>
      <w:lvlText w:val="%1.%2.%3."/>
      <w:lvlJc w:val="left"/>
      <w:pPr>
        <w:ind w:left="720" w:hanging="720"/>
      </w:pPr>
    </w:lvl>
    <w:lvl w:ilvl="3" w:tentative="0">
      <w:start w:val="1"/>
      <w:numFmt w:val="decimal"/>
      <w:lvlText w:val="%1.%2.%3.%4."/>
      <w:lvlJc w:val="left"/>
      <w:pPr>
        <w:ind w:left="720" w:hanging="720"/>
      </w:pPr>
    </w:lvl>
    <w:lvl w:ilvl="4" w:tentative="0">
      <w:start w:val="1"/>
      <w:numFmt w:val="decimal"/>
      <w:lvlText w:val="%1.%2.%3.%4.%5."/>
      <w:lvlJc w:val="left"/>
      <w:pPr>
        <w:ind w:left="1080" w:hanging="1080"/>
      </w:pPr>
    </w:lvl>
    <w:lvl w:ilvl="5" w:tentative="0">
      <w:start w:val="1"/>
      <w:numFmt w:val="decimal"/>
      <w:lvlText w:val="%1.%2.%3.%4.%5.%6."/>
      <w:lvlJc w:val="left"/>
      <w:pPr>
        <w:ind w:left="1080" w:hanging="1080"/>
      </w:pPr>
    </w:lvl>
    <w:lvl w:ilvl="6" w:tentative="0">
      <w:start w:val="1"/>
      <w:numFmt w:val="decimal"/>
      <w:lvlText w:val="%1.%2.%3.%4.%5.%6.%7."/>
      <w:lvlJc w:val="left"/>
      <w:pPr>
        <w:ind w:left="1440" w:hanging="1440"/>
      </w:pPr>
    </w:lvl>
    <w:lvl w:ilvl="7" w:tentative="0">
      <w:start w:val="1"/>
      <w:numFmt w:val="decimal"/>
      <w:lvlText w:val="%1.%2.%3.%4.%5.%6.%7.%8."/>
      <w:lvlJc w:val="left"/>
      <w:pPr>
        <w:ind w:left="1440" w:hanging="1440"/>
      </w:pPr>
    </w:lvl>
    <w:lvl w:ilvl="8" w:tentative="0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</w:compat>
  <w:rsids>
    <w:rsidRoot w:val="00000000"/>
    <w:rsid w:val="1F5054C2"/>
    <w:rsid w:val="67DD14C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99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iPriority="99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Calibr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spacing w:before="220" w:after="40"/>
      <w:outlineLvl w:val="4"/>
    </w:pPr>
    <w:rPr>
      <w:b/>
    </w:rPr>
  </w:style>
  <w:style w:type="paragraph" w:styleId="7">
    <w:name w:val="heading 6"/>
    <w:basedOn w:val="1"/>
    <w:next w:val="1"/>
    <w:qFormat/>
    <w:uiPriority w:val="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Balloon Text"/>
    <w:basedOn w:val="1"/>
    <w:link w:val="21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1">
    <w:name w:val="Body Text 2"/>
    <w:basedOn w:val="1"/>
    <w:link w:val="20"/>
    <w:semiHidden/>
    <w:unhideWhenUsed/>
    <w:qFormat/>
    <w:uiPriority w:val="99"/>
    <w:pPr>
      <w:spacing w:after="120" w:line="480" w:lineRule="auto"/>
    </w:pPr>
  </w:style>
  <w:style w:type="paragraph" w:styleId="12">
    <w:name w:val="header"/>
    <w:basedOn w:val="1"/>
    <w:link w:val="18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3">
    <w:name w:val="Title"/>
    <w:basedOn w:val="1"/>
    <w:next w:val="1"/>
    <w:qFormat/>
    <w:uiPriority w:val="0"/>
    <w:pPr>
      <w:keepNext/>
      <w:keepLines/>
      <w:spacing w:before="480" w:after="120"/>
    </w:pPr>
    <w:rPr>
      <w:b/>
      <w:sz w:val="72"/>
      <w:szCs w:val="72"/>
    </w:rPr>
  </w:style>
  <w:style w:type="paragraph" w:styleId="14">
    <w:name w:val="footer"/>
    <w:basedOn w:val="1"/>
    <w:link w:val="19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5">
    <w:name w:val="Subtitle"/>
    <w:basedOn w:val="1"/>
    <w:next w:val="1"/>
    <w:qFormat/>
    <w:uiPriority w:val="0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customStyle="1" w:styleId="16">
    <w:name w:val="Table Normal"/>
    <w:qFormat/>
    <w:uiPriority w:val="0"/>
  </w:style>
  <w:style w:type="table" w:customStyle="1" w:styleId="17">
    <w:name w:val="Table Normal1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8">
    <w:name w:val="Верхний колонтитул Знак"/>
    <w:basedOn w:val="8"/>
    <w:link w:val="12"/>
    <w:qFormat/>
    <w:uiPriority w:val="99"/>
  </w:style>
  <w:style w:type="character" w:customStyle="1" w:styleId="19">
    <w:name w:val="Нижний колонтитул Знак"/>
    <w:basedOn w:val="8"/>
    <w:link w:val="14"/>
    <w:qFormat/>
    <w:uiPriority w:val="99"/>
  </w:style>
  <w:style w:type="character" w:customStyle="1" w:styleId="20">
    <w:name w:val="Основной текст 2 Знак"/>
    <w:basedOn w:val="8"/>
    <w:link w:val="11"/>
    <w:semiHidden/>
    <w:qFormat/>
    <w:uiPriority w:val="99"/>
  </w:style>
  <w:style w:type="character" w:customStyle="1" w:styleId="21">
    <w:name w:val="Текст выноски Знак"/>
    <w:basedOn w:val="8"/>
    <w:link w:val="10"/>
    <w:semiHidden/>
    <w:qFormat/>
    <w:uiPriority w:val="99"/>
    <w:rPr>
      <w:rFonts w:ascii="Tahoma" w:hAnsi="Tahoma" w:cs="Tahoma"/>
      <w:sz w:val="16"/>
      <w:szCs w:val="16"/>
    </w:rPr>
  </w:style>
  <w:style w:type="paragraph" w:styleId="22">
    <w:name w:val="List Paragraph"/>
    <w:basedOn w:val="1"/>
    <w:qFormat/>
    <w:uiPriority w:val="34"/>
    <w:pPr>
      <w:ind w:left="720"/>
      <w:contextualSpacing/>
    </w:pPr>
  </w:style>
  <w:style w:type="table" w:customStyle="1" w:styleId="23">
    <w:name w:val="_Style 31"/>
    <w:basedOn w:val="16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acLcv3whYlEgIm3HhJeSjhErxg==">CgMxLjAyCGguZ2pkZ3hzMgloLjMwajB6bGwyCWguMWZvYjl0ZTgAciExcFlGblRUWHVkRVpBVlBHZnNzMEtORHVCbWNFVm9vR0M=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TotalTime>2</TotalTime>
  <ScaleCrop>false</ScaleCrop>
  <LinksUpToDate>false</LinksUpToDate>
  <Application>WPS Office_12.2.0.19805_F1E327BC-269C-435d-A152-05C5408002CA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2021-11-01T10:27:00Z</dcterms:created>
  <dc:creator>Dmitry Kalekin</dc:creator>
  <cp:lastModifiedBy>user</cp:lastModifiedBy>
  <dcterms:modified xsi:type="dcterms:W3CDTF">2025-02-06T05:30:55Z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A2FFC4AB54A34840BCA263F3DC20EEEB_13</vt:lpwstr>
  </property>
</Properties>
</file>