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jc w:val="center"/>
        <w:rPr>
          <w:rFonts w:ascii="Times New Roman" w:hAnsi="Times New Roman" w:eastAsia="Times New Roman" w:cs="Times New Roman"/>
          <w:b/>
          <w:sz w:val="18"/>
          <w:szCs w:val="18"/>
        </w:rPr>
      </w:pPr>
      <w:bookmarkStart w:id="0" w:name="_heading=h.gjdgxs" w:colFirst="0" w:colLast="0"/>
      <w:bookmarkEnd w:id="0"/>
    </w:p>
    <w:p w14:paraId="00000002">
      <w:pPr>
        <w:jc w:val="center"/>
        <w:rPr>
          <w:rFonts w:ascii="Times New Roman" w:hAnsi="Times New Roman" w:eastAsia="Times New Roman" w:cs="Times New Roman"/>
          <w:b/>
          <w:sz w:val="18"/>
          <w:szCs w:val="18"/>
        </w:rPr>
      </w:pPr>
      <w:r>
        <w:rPr>
          <w:rFonts w:ascii="Times New Roman" w:hAnsi="Times New Roman" w:eastAsia="Times New Roman" w:cs="Times New Roman"/>
          <w:b/>
          <w:sz w:val="18"/>
          <w:szCs w:val="18"/>
          <w:rtl w:val="0"/>
        </w:rPr>
        <w:t xml:space="preserve">Соглашение об обмене электронными документами </w:t>
      </w:r>
    </w:p>
    <w:p w14:paraId="00000003">
      <w:pPr>
        <w:jc w:val="center"/>
        <w:rPr>
          <w:rFonts w:ascii="Times New Roman" w:hAnsi="Times New Roman" w:eastAsia="Times New Roman" w:cs="Times New Roman"/>
          <w:b/>
          <w:sz w:val="18"/>
          <w:szCs w:val="18"/>
        </w:rPr>
      </w:pPr>
      <w:r>
        <w:rPr>
          <w:rFonts w:ascii="Times New Roman" w:hAnsi="Times New Roman" w:eastAsia="Times New Roman" w:cs="Times New Roman"/>
          <w:b/>
          <w:sz w:val="18"/>
          <w:szCs w:val="18"/>
          <w:rtl w:val="0"/>
        </w:rPr>
        <w:t>в ERP «Энигма» (Система управления корпоративным контентом)</w:t>
      </w:r>
    </w:p>
    <w:p w14:paraId="00000004">
      <w:pPr>
        <w:jc w:val="center"/>
        <w:rPr>
          <w:rFonts w:ascii="Times New Roman" w:hAnsi="Times New Roman" w:eastAsia="Times New Roman" w:cs="Times New Roman"/>
          <w:b/>
          <w:sz w:val="18"/>
          <w:szCs w:val="18"/>
        </w:rPr>
      </w:pPr>
      <w:r>
        <w:rPr>
          <w:rFonts w:ascii="Times New Roman" w:hAnsi="Times New Roman" w:eastAsia="Times New Roman" w:cs="Times New Roman"/>
          <w:b/>
          <w:sz w:val="18"/>
          <w:szCs w:val="18"/>
          <w:rtl w:val="0"/>
        </w:rPr>
        <w:t>(ДОГОВОР ПРИСОЕДИНЕНИЯ)</w:t>
      </w:r>
    </w:p>
    <w:tbl>
      <w:tblPr>
        <w:tblStyle w:val="33"/>
        <w:tblW w:w="10763"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10763"/>
      </w:tblGrid>
      <w:tr w14:paraId="0ACB013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c>
          <w:p w14:paraId="00000005">
            <w:pPr>
              <w:jc w:val="right"/>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«___» ________________ 20____ г.</w:t>
            </w:r>
          </w:p>
        </w:tc>
      </w:tr>
    </w:tbl>
    <w:p w14:paraId="00000006">
      <w:pPr>
        <w:jc w:val="right"/>
        <w:rPr>
          <w:b/>
          <w:sz w:val="18"/>
          <w:szCs w:val="18"/>
        </w:rPr>
      </w:pPr>
    </w:p>
    <w:p w14:paraId="00000007">
      <w:pPr>
        <w:ind w:firstLine="284"/>
        <w:jc w:val="both"/>
        <w:rPr>
          <w:rFonts w:ascii="Times New Roman" w:hAnsi="Times New Roman" w:eastAsia="Times New Roman" w:cs="Times New Roman"/>
          <w:sz w:val="18"/>
          <w:szCs w:val="18"/>
        </w:rPr>
      </w:pPr>
      <w:r>
        <w:rPr>
          <w:rFonts w:ascii="Times New Roman" w:hAnsi="Times New Roman" w:eastAsia="Times New Roman" w:cs="Times New Roman"/>
          <w:b/>
          <w:sz w:val="18"/>
          <w:szCs w:val="18"/>
          <w:rtl w:val="0"/>
        </w:rPr>
        <w:t>Общество с ограниченной ответсвенностью «ЛЕГАЛТЭК», ИНН: 9731078560; ОГРН: 1217700202510</w:t>
      </w:r>
      <w:r>
        <w:rPr>
          <w:rFonts w:ascii="Times New Roman" w:hAnsi="Times New Roman" w:eastAsia="Times New Roman" w:cs="Times New Roman"/>
          <w:sz w:val="18"/>
          <w:szCs w:val="18"/>
          <w:rtl w:val="0"/>
        </w:rPr>
        <w:t xml:space="preserve"> (Право использования программного обеспечения (ПО) "Система управления корпоративным контентом "Энигма" предоставлено Обществом с ограниченной ответственностью «ФАЙВ ЛЕМОНС ГРУПП» ИНН:</w:t>
      </w:r>
      <w:r>
        <w:rPr>
          <w:rtl w:val="0"/>
        </w:rPr>
        <w:t xml:space="preserve"> </w:t>
      </w:r>
      <w:r>
        <w:rPr>
          <w:rFonts w:ascii="Times New Roman" w:hAnsi="Times New Roman" w:eastAsia="Times New Roman" w:cs="Times New Roman"/>
          <w:sz w:val="18"/>
          <w:szCs w:val="18"/>
          <w:rtl w:val="0"/>
        </w:rPr>
        <w:t>7726481360; ОГРН:</w:t>
      </w:r>
      <w:r>
        <w:rPr>
          <w:rtl w:val="0"/>
        </w:rPr>
        <w:t xml:space="preserve"> </w:t>
      </w:r>
      <w:r>
        <w:rPr>
          <w:rFonts w:ascii="Times New Roman" w:hAnsi="Times New Roman" w:eastAsia="Times New Roman" w:cs="Times New Roman"/>
          <w:sz w:val="18"/>
          <w:szCs w:val="18"/>
          <w:rtl w:val="0"/>
        </w:rPr>
        <w:t xml:space="preserve">1217700393943 согласно Лицензионному договору № 2/12 от 01 декабря 2021 года), в лице Генерального директора Лопатухина Бориса Владимировича, действующего на основании Устава (далее – </w:t>
      </w:r>
      <w:r>
        <w:rPr>
          <w:rFonts w:ascii="Times New Roman" w:hAnsi="Times New Roman" w:eastAsia="Times New Roman" w:cs="Times New Roman"/>
          <w:b/>
          <w:sz w:val="18"/>
          <w:szCs w:val="18"/>
          <w:rtl w:val="0"/>
        </w:rPr>
        <w:t>«Компания»)</w:t>
      </w:r>
      <w:r>
        <w:rPr>
          <w:rFonts w:ascii="Times New Roman" w:hAnsi="Times New Roman" w:eastAsia="Times New Roman" w:cs="Times New Roman"/>
          <w:sz w:val="18"/>
          <w:szCs w:val="18"/>
          <w:rtl w:val="0"/>
        </w:rPr>
        <w:t>, с одной стороны, и</w:t>
      </w:r>
    </w:p>
    <w:p w14:paraId="00000008">
      <w:pPr>
        <w:pStyle w:val="2"/>
        <w:shd w:val="clear" w:fill="FFFFFF"/>
        <w:spacing w:before="120" w:after="120"/>
        <w:ind w:firstLine="284"/>
        <w:jc w:val="both"/>
        <w:rPr>
          <w:b w:val="0"/>
          <w:sz w:val="18"/>
          <w:szCs w:val="18"/>
        </w:rPr>
      </w:pPr>
      <w:r>
        <w:rPr>
          <w:sz w:val="18"/>
          <w:szCs w:val="18"/>
          <w:rtl w:val="0"/>
        </w:rPr>
        <w:t xml:space="preserve">__________________________________________________________________________________(далее – «Пользователь»), с другой стороны, далее совместно именуемые «Стороны», </w:t>
      </w:r>
      <w:r>
        <w:rPr>
          <w:b w:val="0"/>
          <w:sz w:val="18"/>
          <w:szCs w:val="18"/>
          <w:rtl w:val="0"/>
        </w:rPr>
        <w:t>заключили соглашение об обмене электронными документами (ЭД) в целях признания простой электронной подписи (ПЭП) равнозначной собственноручной подписи (далее – Соглашение) на условиях, указанных ниже.</w:t>
      </w:r>
    </w:p>
    <w:p w14:paraId="00000009">
      <w:pPr>
        <w:pStyle w:val="2"/>
        <w:shd w:val="clear" w:fill="FFFFFF"/>
        <w:spacing w:before="120" w:after="120"/>
        <w:ind w:firstLine="284"/>
        <w:jc w:val="both"/>
        <w:rPr>
          <w:b w:val="0"/>
          <w:sz w:val="18"/>
          <w:szCs w:val="18"/>
        </w:rPr>
      </w:pPr>
      <w:r>
        <w:rPr>
          <w:b w:val="0"/>
          <w:sz w:val="18"/>
          <w:szCs w:val="18"/>
          <w:rtl w:val="0"/>
        </w:rPr>
        <w:t>Используемые в Соглашении термины и определения понимаются и толкуются в соответствии с Федеральным законом «Об электронной подписи» от 06.04.2011 № 63-ФЗ, если иное не указано в Соглашении.</w:t>
      </w:r>
    </w:p>
    <w:p w14:paraId="0000000A">
      <w:pPr>
        <w:numPr>
          <w:ilvl w:val="0"/>
          <w:numId w:val="1"/>
        </w:numPr>
        <w:pBdr>
          <w:top w:val="none" w:color="auto" w:sz="0" w:space="0"/>
          <w:left w:val="none" w:color="auto" w:sz="0" w:space="0"/>
          <w:bottom w:val="none" w:color="auto" w:sz="0" w:space="0"/>
          <w:right w:val="none" w:color="auto" w:sz="0" w:space="0"/>
          <w:between w:val="none" w:color="auto" w:sz="0" w:space="0"/>
        </w:pBdr>
        <w:spacing w:before="120" w:after="120"/>
        <w:ind w:left="0" w:firstLine="426"/>
        <w:jc w:val="both"/>
        <w:rPr>
          <w:rFonts w:ascii="Times New Roman" w:hAnsi="Times New Roman" w:eastAsia="Times New Roman" w:cs="Times New Roman"/>
          <w:b/>
          <w:sz w:val="18"/>
          <w:szCs w:val="18"/>
        </w:rPr>
      </w:pPr>
      <w:r>
        <w:rPr>
          <w:rFonts w:ascii="Times New Roman" w:hAnsi="Times New Roman" w:eastAsia="Times New Roman" w:cs="Times New Roman"/>
          <w:b/>
          <w:sz w:val="18"/>
          <w:szCs w:val="18"/>
          <w:rtl w:val="0"/>
        </w:rPr>
        <w:t>Предмет Соглашения</w:t>
      </w:r>
    </w:p>
    <w:p w14:paraId="0000000B">
      <w:pPr>
        <w:numPr>
          <w:ilvl w:val="1"/>
          <w:numId w:val="1"/>
        </w:numPr>
        <w:pBdr>
          <w:top w:val="none" w:color="auto" w:sz="0" w:space="0"/>
          <w:left w:val="none" w:color="auto" w:sz="0" w:space="0"/>
          <w:bottom w:val="none" w:color="auto" w:sz="0" w:space="0"/>
          <w:right w:val="none" w:color="auto" w:sz="0" w:space="0"/>
          <w:between w:val="none" w:color="auto" w:sz="0" w:space="0"/>
        </w:pBdr>
        <w:spacing w:before="120" w:after="120"/>
        <w:ind w:left="0" w:firstLine="0"/>
        <w:jc w:val="both"/>
        <w:rPr>
          <w:rFonts w:ascii="Times New Roman" w:hAnsi="Times New Roman" w:eastAsia="Times New Roman" w:cs="Times New Roman"/>
          <w:b/>
          <w:sz w:val="18"/>
          <w:szCs w:val="18"/>
        </w:rPr>
      </w:pPr>
      <w:r>
        <w:rPr>
          <w:rFonts w:ascii="Times New Roman" w:hAnsi="Times New Roman" w:eastAsia="Times New Roman" w:cs="Times New Roman"/>
          <w:sz w:val="18"/>
          <w:szCs w:val="18"/>
          <w:rtl w:val="0"/>
        </w:rPr>
        <w:t>Стороны регламентировали порядок организации между Сторонами электронного документооборота в целях заключения, а также исполнения ранее заключенных между Сторонами договоров в следующем порядке:</w:t>
      </w:r>
    </w:p>
    <w:tbl>
      <w:tblPr>
        <w:tblStyle w:val="34"/>
        <w:tblW w:w="101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83"/>
        <w:gridCol w:w="5084"/>
      </w:tblGrid>
      <w:tr w14:paraId="20231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0C">
            <w:pPr>
              <w:pBdr>
                <w:top w:val="none" w:color="auto" w:sz="0" w:space="0"/>
                <w:left w:val="none" w:color="auto" w:sz="0" w:space="0"/>
                <w:bottom w:val="none" w:color="auto" w:sz="0" w:space="0"/>
                <w:right w:val="none" w:color="auto" w:sz="0" w:space="0"/>
                <w:between w:val="none" w:color="auto" w:sz="0" w:space="0"/>
              </w:pBdr>
              <w:spacing w:before="120" w:after="120"/>
              <w:jc w:val="both"/>
              <w:rPr>
                <w:rFonts w:ascii="Times New Roman" w:hAnsi="Times New Roman" w:eastAsia="Times New Roman" w:cs="Times New Roman"/>
                <w:b/>
                <w:sz w:val="18"/>
                <w:szCs w:val="18"/>
              </w:rPr>
            </w:pPr>
            <w:r>
              <w:rPr>
                <w:rFonts w:ascii="Times New Roman" w:hAnsi="Times New Roman" w:eastAsia="Times New Roman" w:cs="Times New Roman"/>
                <w:b/>
                <w:sz w:val="18"/>
                <w:szCs w:val="18"/>
                <w:rtl w:val="0"/>
              </w:rPr>
              <w:t xml:space="preserve">Вид Электронной подписи </w:t>
            </w:r>
          </w:p>
        </w:tc>
        <w:tc>
          <w:p w14:paraId="0000000D">
            <w:pPr>
              <w:pBdr>
                <w:top w:val="none" w:color="auto" w:sz="0" w:space="0"/>
                <w:left w:val="none" w:color="auto" w:sz="0" w:space="0"/>
                <w:bottom w:val="none" w:color="auto" w:sz="0" w:space="0"/>
                <w:right w:val="none" w:color="auto" w:sz="0" w:space="0"/>
                <w:between w:val="none" w:color="auto" w:sz="0" w:space="0"/>
              </w:pBdr>
              <w:spacing w:before="120" w:after="12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Простая электронная подпись (ПЭП)</w:t>
            </w:r>
          </w:p>
        </w:tc>
      </w:tr>
      <w:tr w14:paraId="46427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0E">
            <w:pPr>
              <w:pBdr>
                <w:top w:val="none" w:color="auto" w:sz="0" w:space="0"/>
                <w:left w:val="none" w:color="auto" w:sz="0" w:space="0"/>
                <w:bottom w:val="none" w:color="auto" w:sz="0" w:space="0"/>
                <w:right w:val="none" w:color="auto" w:sz="0" w:space="0"/>
                <w:between w:val="none" w:color="auto" w:sz="0" w:space="0"/>
              </w:pBdr>
              <w:spacing w:before="120" w:after="120"/>
              <w:jc w:val="both"/>
              <w:rPr>
                <w:rFonts w:ascii="Times New Roman" w:hAnsi="Times New Roman" w:eastAsia="Times New Roman" w:cs="Times New Roman"/>
                <w:b/>
                <w:sz w:val="18"/>
                <w:szCs w:val="18"/>
              </w:rPr>
            </w:pPr>
            <w:r>
              <w:rPr>
                <w:rFonts w:ascii="Times New Roman" w:hAnsi="Times New Roman" w:eastAsia="Times New Roman" w:cs="Times New Roman"/>
                <w:b/>
                <w:sz w:val="18"/>
                <w:szCs w:val="18"/>
                <w:rtl w:val="0"/>
              </w:rPr>
              <w:t xml:space="preserve">Виды документов, подписываемых Сторонами </w:t>
            </w:r>
          </w:p>
        </w:tc>
        <w:tc>
          <w:p w14:paraId="0000000F">
            <w:pPr>
              <w:pBdr>
                <w:top w:val="none" w:color="auto" w:sz="0" w:space="0"/>
                <w:left w:val="none" w:color="auto" w:sz="0" w:space="0"/>
                <w:bottom w:val="none" w:color="auto" w:sz="0" w:space="0"/>
                <w:right w:val="none" w:color="auto" w:sz="0" w:space="0"/>
                <w:between w:val="none" w:color="auto" w:sz="0" w:space="0"/>
              </w:pBdr>
              <w:spacing w:before="120" w:after="12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Формализованные и неформализованные</w:t>
            </w:r>
          </w:p>
        </w:tc>
      </w:tr>
      <w:tr w14:paraId="54885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p w14:paraId="00000010">
            <w:pPr>
              <w:pBdr>
                <w:top w:val="none" w:color="auto" w:sz="0" w:space="0"/>
                <w:left w:val="none" w:color="auto" w:sz="0" w:space="0"/>
                <w:bottom w:val="none" w:color="auto" w:sz="0" w:space="0"/>
                <w:right w:val="none" w:color="auto" w:sz="0" w:space="0"/>
                <w:between w:val="none" w:color="auto" w:sz="0" w:space="0"/>
              </w:pBdr>
              <w:spacing w:before="120" w:after="120"/>
              <w:jc w:val="both"/>
              <w:rPr>
                <w:rFonts w:ascii="Times New Roman" w:hAnsi="Times New Roman" w:eastAsia="Times New Roman" w:cs="Times New Roman"/>
                <w:b/>
                <w:sz w:val="18"/>
                <w:szCs w:val="18"/>
              </w:rPr>
            </w:pPr>
            <w:r>
              <w:rPr>
                <w:rFonts w:ascii="Times New Roman" w:hAnsi="Times New Roman" w:eastAsia="Times New Roman" w:cs="Times New Roman"/>
                <w:b/>
                <w:sz w:val="18"/>
                <w:szCs w:val="18"/>
                <w:rtl w:val="0"/>
              </w:rPr>
              <w:t>Информационная система, посредством которой формируется ПЭП</w:t>
            </w:r>
          </w:p>
        </w:tc>
        <w:tc>
          <w:p w14:paraId="00000011">
            <w:pPr>
              <w:pBdr>
                <w:top w:val="none" w:color="auto" w:sz="0" w:space="0"/>
                <w:left w:val="none" w:color="auto" w:sz="0" w:space="0"/>
                <w:bottom w:val="none" w:color="auto" w:sz="0" w:space="0"/>
                <w:right w:val="none" w:color="auto" w:sz="0" w:space="0"/>
                <w:between w:val="none" w:color="auto" w:sz="0" w:space="0"/>
              </w:pBdr>
              <w:spacing w:before="120" w:after="12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ERP «Энигма» (Далее - Энигма)</w:t>
            </w:r>
          </w:p>
        </w:tc>
      </w:tr>
    </w:tbl>
    <w:p w14:paraId="00000012">
      <w:pPr>
        <w:numPr>
          <w:ilvl w:val="0"/>
          <w:numId w:val="1"/>
        </w:numPr>
        <w:pBdr>
          <w:top w:val="none" w:color="auto" w:sz="0" w:space="0"/>
          <w:left w:val="none" w:color="auto" w:sz="0" w:space="0"/>
          <w:bottom w:val="none" w:color="auto" w:sz="0" w:space="0"/>
          <w:right w:val="none" w:color="auto" w:sz="0" w:space="0"/>
          <w:between w:val="none" w:color="auto" w:sz="0" w:space="0"/>
        </w:pBdr>
        <w:spacing w:before="120" w:after="120"/>
        <w:ind w:left="0" w:firstLine="426"/>
        <w:jc w:val="both"/>
        <w:rPr>
          <w:rFonts w:ascii="Times New Roman" w:hAnsi="Times New Roman" w:eastAsia="Times New Roman" w:cs="Times New Roman"/>
          <w:b/>
          <w:sz w:val="18"/>
          <w:szCs w:val="18"/>
        </w:rPr>
      </w:pPr>
      <w:r>
        <w:rPr>
          <w:rFonts w:ascii="Times New Roman" w:hAnsi="Times New Roman" w:eastAsia="Times New Roman" w:cs="Times New Roman"/>
          <w:b/>
          <w:sz w:val="18"/>
          <w:szCs w:val="18"/>
          <w:rtl w:val="0"/>
        </w:rPr>
        <w:t>Порядок подписания и определения лица, подписавшего ЭД</w:t>
      </w:r>
    </w:p>
    <w:p w14:paraId="00000013">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FFFFFF"/>
        <w:spacing w:before="120" w:after="0" w:line="240" w:lineRule="auto"/>
        <w:ind w:left="426" w:right="0" w:hanging="426"/>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Пользователю предоставляется право посредством Энигмы осуществить формирование Электронной подписи с целью подписания Электронного документа.</w:t>
      </w:r>
    </w:p>
    <w:p w14:paraId="00000014">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432"/>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Пользователь проходит процедуру идентификации личности (верификацию) с целью присвоения/подтверждения принадлежащего ему номера телефона и электронной почты для определения каналов связи, посредством которого Пользователь получил Ключ ЭП и подписанный Электронный документ.</w:t>
      </w:r>
    </w:p>
    <w:p w14:paraId="00000015">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432"/>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Для подписания Электронного документа посредством ЭП Пользователь инициирует запрос на получение Ключа ЭП. Создание ЭП всегда инициируется Пользователем, т.е. не выполняется автоматически или незаметно для него.</w:t>
      </w:r>
    </w:p>
    <w:p w14:paraId="00000016">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FFFFFF"/>
        <w:spacing w:before="0" w:after="120" w:line="240" w:lineRule="auto"/>
        <w:ind w:left="426" w:right="0" w:hanging="432"/>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После запроса Пользователя на создание ЭП в базе данных системы Энигма создается запись и сохраняются следующие метаданные:</w:t>
      </w:r>
    </w:p>
    <w:p w14:paraId="00000017">
      <w:pPr>
        <w:numPr>
          <w:ilvl w:val="0"/>
          <w:numId w:val="2"/>
        </w:numPr>
        <w:ind w:left="425" w:hanging="35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Канал связи (номер телефона), посредством которого Пользователю был направлен Ключ ЭП,</w:t>
      </w:r>
    </w:p>
    <w:p w14:paraId="00000018">
      <w:pPr>
        <w:numPr>
          <w:ilvl w:val="0"/>
          <w:numId w:val="2"/>
        </w:numPr>
        <w:ind w:left="425" w:hanging="35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Ключ ЭП,</w:t>
      </w:r>
    </w:p>
    <w:p w14:paraId="00000019">
      <w:pPr>
        <w:numPr>
          <w:ilvl w:val="0"/>
          <w:numId w:val="2"/>
        </w:numPr>
        <w:ind w:left="425" w:hanging="35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Дата и время отправки Ключа ЭП;</w:t>
      </w:r>
    </w:p>
    <w:p w14:paraId="0000001A">
      <w:pPr>
        <w:numPr>
          <w:ilvl w:val="0"/>
          <w:numId w:val="2"/>
        </w:numPr>
        <w:ind w:left="425" w:hanging="357"/>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tl w:val="0"/>
        </w:rPr>
        <w:t>Информация об Электронном документе (контрольная сумма файла),</w:t>
      </w:r>
    </w:p>
    <w:p w14:paraId="0000001B">
      <w:pPr>
        <w:numPr>
          <w:ilvl w:val="0"/>
          <w:numId w:val="2"/>
        </w:numPr>
        <w:ind w:left="425" w:hanging="357"/>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tl w:val="0"/>
        </w:rPr>
        <w:t>Дата и время ввода Пользователем Ключа ЭП в соответствующее поле Энигмы.</w:t>
      </w:r>
    </w:p>
    <w:p w14:paraId="0000001C">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auto"/>
        <w:spacing w:before="120" w:after="0" w:line="240" w:lineRule="auto"/>
        <w:ind w:left="426" w:right="0" w:hanging="432"/>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При неиспользовании Ключа ЭП в течение срока его действия он теряет свою актуальность, после чего для подписания ЭД Пользователь должен запросить и использовать новый Ключ ЭП.</w:t>
      </w:r>
    </w:p>
    <w:p w14:paraId="0000001D">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432"/>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Для подписания Электронного документа посредством ЭП Пользователь вводит полученный Ключ ЭП в соответствующее поле и нажимает функциональную электронную кнопку, необходимую для подписания Электронного документа.</w:t>
      </w:r>
    </w:p>
    <w:p w14:paraId="0000001E">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432"/>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Электронный документ считается подписанным ЭП в случае совпадения Ключа ЭП, направленного Энигмой Пользователю, и символов, введенных Пользователем в специальном поле соответствующего раздела Энигмы.</w:t>
      </w:r>
    </w:p>
    <w:p w14:paraId="0000001F">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432"/>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После подписания Электронного документа происходит формирование экземпляра Электронного документа с присоединением к нему Сертификата, содержащего следующую информацию:</w:t>
      </w:r>
    </w:p>
    <w:p w14:paraId="00000020">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360"/>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Данные лица, подписавшего Электронный документ посредством ЭП;</w:t>
      </w:r>
    </w:p>
    <w:p w14:paraId="00000021">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360"/>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дата и время подписания Электронного документа;</w:t>
      </w:r>
    </w:p>
    <w:p w14:paraId="00000022">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360"/>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Идентификатор Пользователей, представляющий собой Канал связи, по которому был направлен Ключ ЭП/ используемый для Аутентификации;</w:t>
      </w:r>
    </w:p>
    <w:p w14:paraId="00000023">
      <w:pPr>
        <w:keepNext w:val="0"/>
        <w:keepLines w:val="0"/>
        <w:pageBreakBefore w:val="0"/>
        <w:widowControl/>
        <w:numPr>
          <w:ilvl w:val="0"/>
          <w:numId w:val="3"/>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360"/>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Локационные данные Пользователя, подписавшего Электронный документ (IP- адрес);</w:t>
      </w:r>
    </w:p>
    <w:p w14:paraId="00000024">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432"/>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Одной ЭП могут быть подписаны несколько Электронных документов (Пакет Документов). При подписании ЭП Пакета Документов каждый из Электронных документов, входящих в Пакет Документов, считается подписанным ЭП, которой подписан весь Пакет Документов.</w:t>
      </w:r>
    </w:p>
    <w:p w14:paraId="00000025">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FFFFFF"/>
        <w:spacing w:before="0" w:after="0" w:line="240" w:lineRule="auto"/>
        <w:ind w:left="426" w:right="0" w:hanging="432"/>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После подписания Электронного документа всеми сторонами, а в случае одностороннего волеизъявления - Пользователем, последний получает на электронную почту подписанный ЭД или ссылку для скачивания экземпляра Электронного документа.</w:t>
      </w:r>
    </w:p>
    <w:p w14:paraId="00000026">
      <w:pPr>
        <w:keepNext w:val="0"/>
        <w:keepLines w:val="0"/>
        <w:pageBreakBefore w:val="0"/>
        <w:widowControl/>
        <w:numPr>
          <w:ilvl w:val="1"/>
          <w:numId w:val="1"/>
        </w:numPr>
        <w:pBdr>
          <w:top w:val="none" w:color="auto" w:sz="0" w:space="0"/>
          <w:left w:val="none" w:color="auto" w:sz="0" w:space="0"/>
          <w:bottom w:val="none" w:color="auto" w:sz="0" w:space="0"/>
          <w:right w:val="none" w:color="auto" w:sz="0" w:space="0"/>
          <w:between w:val="none" w:color="auto" w:sz="0" w:space="0"/>
        </w:pBdr>
        <w:shd w:val="clear" w:fill="FFFFFF"/>
        <w:spacing w:before="0" w:after="120" w:line="240" w:lineRule="auto"/>
        <w:ind w:left="426" w:right="0" w:hanging="432"/>
        <w:jc w:val="both"/>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Электронные документы, подписанные с использованием ПЭП, являются оригиналами и надлежащими доказательствами в суде, без нотариального удостоверения.</w:t>
      </w:r>
    </w:p>
    <w:p w14:paraId="00000027">
      <w:pPr>
        <w:numPr>
          <w:ilvl w:val="0"/>
          <w:numId w:val="1"/>
        </w:numPr>
        <w:pBdr>
          <w:top w:val="none" w:color="auto" w:sz="0" w:space="0"/>
          <w:left w:val="none" w:color="auto" w:sz="0" w:space="0"/>
          <w:bottom w:val="none" w:color="auto" w:sz="0" w:space="0"/>
          <w:right w:val="none" w:color="auto" w:sz="0" w:space="0"/>
          <w:between w:val="none" w:color="auto" w:sz="0" w:space="0"/>
        </w:pBdr>
        <w:spacing w:before="120" w:after="120"/>
        <w:ind w:left="0" w:firstLine="567"/>
        <w:jc w:val="both"/>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tl w:val="0"/>
        </w:rPr>
        <w:t>Конфиденциальность</w:t>
      </w:r>
    </w:p>
    <w:p w14:paraId="00000028">
      <w:pPr>
        <w:numPr>
          <w:ilvl w:val="1"/>
          <w:numId w:val="1"/>
        </w:numPr>
        <w:pBdr>
          <w:top w:val="none" w:color="auto" w:sz="0" w:space="0"/>
          <w:left w:val="none" w:color="auto" w:sz="0" w:space="0"/>
          <w:bottom w:val="none" w:color="auto" w:sz="0" w:space="0"/>
          <w:right w:val="none" w:color="auto" w:sz="0" w:space="0"/>
          <w:between w:val="none" w:color="auto" w:sz="0" w:space="0"/>
        </w:pBdr>
        <w:ind w:left="0" w:firstLine="0"/>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tl w:val="0"/>
        </w:rPr>
        <w:t>Каждая из Сторон несет ответственность за обеспечение конфиденциальности Ключей ПЭП, недопущения его использования без ее согласия. Стороны гарантируют, что согласованные Каналы связи принадлежат указанным в 5.5. Соглашения лицам и третьи лица не имеют к ним доступа.</w:t>
      </w:r>
    </w:p>
    <w:p w14:paraId="00000029">
      <w:pPr>
        <w:numPr>
          <w:ilvl w:val="1"/>
          <w:numId w:val="1"/>
        </w:numPr>
        <w:pBdr>
          <w:top w:val="none" w:color="auto" w:sz="0" w:space="0"/>
          <w:left w:val="none" w:color="auto" w:sz="0" w:space="0"/>
          <w:bottom w:val="none" w:color="auto" w:sz="0" w:space="0"/>
          <w:right w:val="none" w:color="auto" w:sz="0" w:space="0"/>
          <w:between w:val="none" w:color="auto" w:sz="0" w:space="0"/>
        </w:pBdr>
        <w:ind w:left="0" w:firstLine="0"/>
        <w:jc w:val="both"/>
        <w:rPr>
          <w:rFonts w:ascii="Times New Roman" w:hAnsi="Times New Roman" w:eastAsia="Times New Roman" w:cs="Times New Roman"/>
          <w:b/>
          <w:color w:val="000000"/>
          <w:sz w:val="18"/>
          <w:szCs w:val="18"/>
        </w:rPr>
      </w:pPr>
      <w:r>
        <w:rPr>
          <w:rFonts w:ascii="Times New Roman" w:hAnsi="Times New Roman" w:eastAsia="Times New Roman" w:cs="Times New Roman"/>
          <w:color w:val="000000"/>
          <w:sz w:val="18"/>
          <w:szCs w:val="18"/>
          <w:rtl w:val="0"/>
        </w:rPr>
        <w:t xml:space="preserve">Стороны обязаны незамедлительно информировать друг друга о невозможности обмена ЭД. </w:t>
      </w:r>
    </w:p>
    <w:p w14:paraId="0000002A">
      <w:pPr>
        <w:numPr>
          <w:ilvl w:val="0"/>
          <w:numId w:val="1"/>
        </w:numPr>
        <w:pBdr>
          <w:top w:val="none" w:color="auto" w:sz="0" w:space="0"/>
          <w:left w:val="none" w:color="auto" w:sz="0" w:space="0"/>
          <w:bottom w:val="none" w:color="auto" w:sz="0" w:space="0"/>
          <w:right w:val="none" w:color="auto" w:sz="0" w:space="0"/>
          <w:between w:val="none" w:color="auto" w:sz="0" w:space="0"/>
        </w:pBdr>
        <w:spacing w:before="120" w:after="120"/>
        <w:ind w:left="0" w:firstLine="567"/>
        <w:jc w:val="both"/>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tl w:val="0"/>
        </w:rPr>
        <w:t xml:space="preserve">Ответственность Сторон </w:t>
      </w:r>
    </w:p>
    <w:p w14:paraId="0000002B">
      <w:pPr>
        <w:numPr>
          <w:ilvl w:val="1"/>
          <w:numId w:val="1"/>
        </w:numPr>
        <w:pBdr>
          <w:top w:val="none" w:color="auto" w:sz="0" w:space="0"/>
          <w:left w:val="none" w:color="auto" w:sz="0" w:space="0"/>
          <w:bottom w:val="none" w:color="auto" w:sz="0" w:space="0"/>
          <w:right w:val="none" w:color="auto" w:sz="0" w:space="0"/>
          <w:between w:val="none" w:color="auto" w:sz="0" w:space="0"/>
        </w:pBdr>
        <w:ind w:left="0" w:firstLine="0"/>
        <w:jc w:val="both"/>
        <w:rPr>
          <w:rFonts w:ascii="Times New Roman" w:hAnsi="Times New Roman" w:eastAsia="Times New Roman" w:cs="Times New Roman"/>
          <w:b/>
          <w:color w:val="000000"/>
          <w:sz w:val="18"/>
          <w:szCs w:val="18"/>
        </w:rPr>
      </w:pPr>
      <w:r>
        <w:rPr>
          <w:rFonts w:ascii="Times New Roman" w:hAnsi="Times New Roman" w:eastAsia="Times New Roman" w:cs="Times New Roman"/>
          <w:color w:val="000000"/>
          <w:sz w:val="18"/>
          <w:szCs w:val="18"/>
          <w:rtl w:val="0"/>
        </w:rPr>
        <w:t>Каждая из Сторон несет ответственность за содержание любого направленного и (или) подписанного ЭД.</w:t>
      </w:r>
    </w:p>
    <w:p w14:paraId="0000002C">
      <w:pPr>
        <w:numPr>
          <w:ilvl w:val="1"/>
          <w:numId w:val="1"/>
        </w:numPr>
        <w:pBdr>
          <w:top w:val="none" w:color="auto" w:sz="0" w:space="0"/>
          <w:left w:val="none" w:color="auto" w:sz="0" w:space="0"/>
          <w:bottom w:val="none" w:color="auto" w:sz="0" w:space="0"/>
          <w:right w:val="none" w:color="auto" w:sz="0" w:space="0"/>
          <w:between w:val="none" w:color="auto" w:sz="0" w:space="0"/>
        </w:pBdr>
        <w:ind w:left="0" w:firstLine="0"/>
        <w:jc w:val="both"/>
        <w:rPr>
          <w:rFonts w:ascii="Times New Roman" w:hAnsi="Times New Roman" w:eastAsia="Times New Roman" w:cs="Times New Roman"/>
          <w:b/>
          <w:color w:val="000000"/>
          <w:sz w:val="18"/>
          <w:szCs w:val="18"/>
        </w:rPr>
      </w:pPr>
      <w:r>
        <w:rPr>
          <w:rFonts w:ascii="Times New Roman" w:hAnsi="Times New Roman" w:eastAsia="Times New Roman" w:cs="Times New Roman"/>
          <w:color w:val="000000"/>
          <w:sz w:val="18"/>
          <w:szCs w:val="18"/>
          <w:rtl w:val="0"/>
        </w:rPr>
        <w:t xml:space="preserve">Сторона, допустившая компрометацию Ключа ПЭП, несет ответственность за ЭД, подписанные с использованием скомпрометированного Ключа ПЭП и связанные с этим риски. </w:t>
      </w:r>
    </w:p>
    <w:p w14:paraId="0000002D">
      <w:pPr>
        <w:numPr>
          <w:ilvl w:val="1"/>
          <w:numId w:val="1"/>
        </w:numPr>
        <w:pBdr>
          <w:top w:val="none" w:color="auto" w:sz="0" w:space="0"/>
          <w:left w:val="none" w:color="auto" w:sz="0" w:space="0"/>
          <w:bottom w:val="none" w:color="auto" w:sz="0" w:space="0"/>
          <w:right w:val="none" w:color="auto" w:sz="0" w:space="0"/>
          <w:between w:val="none" w:color="auto" w:sz="0" w:space="0"/>
        </w:pBdr>
        <w:ind w:left="0" w:firstLine="0"/>
        <w:jc w:val="both"/>
        <w:rPr>
          <w:rFonts w:ascii="Times New Roman" w:hAnsi="Times New Roman" w:eastAsia="Times New Roman" w:cs="Times New Roman"/>
          <w:b/>
          <w:color w:val="000000"/>
          <w:sz w:val="18"/>
          <w:szCs w:val="18"/>
        </w:rPr>
      </w:pPr>
      <w:r>
        <w:rPr>
          <w:rFonts w:ascii="Times New Roman" w:hAnsi="Times New Roman" w:eastAsia="Times New Roman" w:cs="Times New Roman"/>
          <w:color w:val="000000"/>
          <w:sz w:val="18"/>
          <w:szCs w:val="18"/>
          <w:rtl w:val="0"/>
        </w:rPr>
        <w:t>В случае изменения/утраты канала связи (номера телефона, электронной почты), Пользователь письменно уведомляет Компанию, предоставляет актуальные каналы связи, а также проходит процедуру идентификации личности (верификации).</w:t>
      </w:r>
    </w:p>
    <w:p w14:paraId="0000002E">
      <w:pPr>
        <w:numPr>
          <w:ilvl w:val="0"/>
          <w:numId w:val="1"/>
        </w:numPr>
        <w:pBdr>
          <w:top w:val="none" w:color="auto" w:sz="0" w:space="0"/>
          <w:left w:val="none" w:color="auto" w:sz="0" w:space="0"/>
          <w:bottom w:val="none" w:color="auto" w:sz="0" w:space="0"/>
          <w:right w:val="none" w:color="auto" w:sz="0" w:space="0"/>
          <w:between w:val="none" w:color="auto" w:sz="0" w:space="0"/>
        </w:pBdr>
        <w:spacing w:before="120" w:after="120"/>
        <w:ind w:left="0" w:right="-29" w:firstLine="567"/>
        <w:jc w:val="both"/>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tl w:val="0"/>
        </w:rPr>
        <w:t>Заключительные положения</w:t>
      </w:r>
    </w:p>
    <w:p w14:paraId="0000002F">
      <w:pPr>
        <w:numPr>
          <w:ilvl w:val="1"/>
          <w:numId w:val="1"/>
        </w:numPr>
        <w:pBdr>
          <w:top w:val="none" w:color="auto" w:sz="0" w:space="0"/>
          <w:left w:val="none" w:color="auto" w:sz="0" w:space="0"/>
          <w:bottom w:val="none" w:color="auto" w:sz="0" w:space="0"/>
          <w:right w:val="none" w:color="auto" w:sz="0" w:space="0"/>
          <w:between w:val="none" w:color="auto" w:sz="0" w:space="0"/>
        </w:pBdr>
        <w:ind w:left="0" w:right="-28" w:firstLine="0"/>
        <w:jc w:val="both"/>
        <w:rPr>
          <w:rFonts w:ascii="Times New Roman" w:hAnsi="Times New Roman" w:eastAsia="Times New Roman" w:cs="Times New Roman"/>
          <w:b/>
          <w:sz w:val="18"/>
          <w:szCs w:val="18"/>
        </w:rPr>
      </w:pPr>
      <w:r>
        <w:rPr>
          <w:rFonts w:ascii="Times New Roman" w:hAnsi="Times New Roman" w:eastAsia="Times New Roman" w:cs="Times New Roman"/>
          <w:color w:val="000000"/>
          <w:sz w:val="18"/>
          <w:szCs w:val="18"/>
          <w:rtl w:val="0"/>
        </w:rPr>
        <w:t xml:space="preserve">При </w:t>
      </w:r>
      <w:r>
        <w:rPr>
          <w:rFonts w:ascii="Times New Roman" w:hAnsi="Times New Roman" w:eastAsia="Times New Roman" w:cs="Times New Roman"/>
          <w:sz w:val="18"/>
          <w:szCs w:val="18"/>
          <w:rtl w:val="0"/>
        </w:rPr>
        <w:t>возникновении разногласий относительно подписания с помощью ПЭП, определенных ЭД Стороны соглашаются совместно осуществить рассмотрение спора.</w:t>
      </w:r>
    </w:p>
    <w:p w14:paraId="00000030">
      <w:pPr>
        <w:numPr>
          <w:ilvl w:val="1"/>
          <w:numId w:val="1"/>
        </w:numPr>
        <w:pBdr>
          <w:top w:val="none" w:color="auto" w:sz="0" w:space="0"/>
          <w:left w:val="none" w:color="auto" w:sz="0" w:space="0"/>
          <w:bottom w:val="none" w:color="auto" w:sz="0" w:space="0"/>
          <w:right w:val="none" w:color="auto" w:sz="0" w:space="0"/>
          <w:between w:val="none" w:color="auto" w:sz="0" w:space="0"/>
        </w:pBdr>
        <w:ind w:left="0" w:right="-28" w:firstLine="0"/>
        <w:jc w:val="both"/>
        <w:rPr>
          <w:rFonts w:ascii="Times New Roman" w:hAnsi="Times New Roman" w:eastAsia="Times New Roman" w:cs="Times New Roman"/>
          <w:b/>
          <w:sz w:val="18"/>
          <w:szCs w:val="18"/>
        </w:rPr>
      </w:pPr>
      <w:r>
        <w:rPr>
          <w:rFonts w:ascii="Times New Roman" w:hAnsi="Times New Roman" w:eastAsia="Times New Roman" w:cs="Times New Roman"/>
          <w:sz w:val="18"/>
          <w:szCs w:val="18"/>
          <w:rtl w:val="0"/>
        </w:rPr>
        <w:t>Стороны принимают и согласны с тем, что информация, предоставляемая Энигмой, признается Сторонами в качестве пригодной и достаточной для разрешения конфликтных ситуаций, и/или споров в досудебном порядке, и/или в суде (1) факта запроса Стороной Ключа ЭП (то есть подтверждать факт получения Энигмой от Стороны запроса на отправку Ключа ЭП), (2) факта направления Стороне Ключа ЭП, (3) факта ввода Стороной Ключа ЭП в соответствующее поле для подписания Электронного документа.</w:t>
      </w:r>
    </w:p>
    <w:p w14:paraId="00000031">
      <w:pPr>
        <w:numPr>
          <w:ilvl w:val="1"/>
          <w:numId w:val="1"/>
        </w:numPr>
        <w:pBdr>
          <w:top w:val="none" w:color="auto" w:sz="0" w:space="0"/>
          <w:left w:val="none" w:color="auto" w:sz="0" w:space="0"/>
          <w:bottom w:val="none" w:color="auto" w:sz="0" w:space="0"/>
          <w:right w:val="none" w:color="auto" w:sz="0" w:space="0"/>
          <w:between w:val="none" w:color="auto" w:sz="0" w:space="0"/>
        </w:pBdr>
        <w:ind w:left="0" w:right="-28" w:firstLine="0"/>
        <w:jc w:val="both"/>
        <w:rPr>
          <w:rFonts w:ascii="Times New Roman" w:hAnsi="Times New Roman" w:eastAsia="Times New Roman" w:cs="Times New Roman"/>
          <w:b/>
          <w:sz w:val="18"/>
          <w:szCs w:val="18"/>
        </w:rPr>
      </w:pPr>
      <w:r>
        <w:rPr>
          <w:rFonts w:ascii="Times New Roman" w:hAnsi="Times New Roman" w:eastAsia="Times New Roman" w:cs="Times New Roman"/>
          <w:sz w:val="18"/>
          <w:szCs w:val="18"/>
          <w:rtl w:val="0"/>
        </w:rPr>
        <w:t>Пользователь подтверждает согласие на раскрытие Ключа ЭП оператору мобильной связи, иному лицу, оказывающему Компании услуги по доставке третьим лицам сообщений (информации) через телекоммуникационные сети</w:t>
      </w:r>
    </w:p>
    <w:p w14:paraId="00000032">
      <w:pPr>
        <w:numPr>
          <w:ilvl w:val="1"/>
          <w:numId w:val="1"/>
        </w:numPr>
        <w:pBdr>
          <w:top w:val="none" w:color="auto" w:sz="0" w:space="0"/>
          <w:left w:val="none" w:color="auto" w:sz="0" w:space="0"/>
          <w:bottom w:val="none" w:color="auto" w:sz="0" w:space="0"/>
          <w:right w:val="none" w:color="auto" w:sz="0" w:space="0"/>
          <w:between w:val="none" w:color="auto" w:sz="0" w:space="0"/>
        </w:pBdr>
        <w:ind w:left="0" w:right="-28" w:firstLine="0"/>
        <w:jc w:val="both"/>
        <w:rPr>
          <w:rFonts w:ascii="Times New Roman" w:hAnsi="Times New Roman" w:eastAsia="Times New Roman" w:cs="Times New Roman"/>
          <w:b/>
          <w:sz w:val="18"/>
          <w:szCs w:val="18"/>
        </w:rPr>
      </w:pPr>
      <w:r>
        <w:rPr>
          <w:rFonts w:ascii="Times New Roman" w:hAnsi="Times New Roman" w:eastAsia="Times New Roman" w:cs="Times New Roman"/>
          <w:color w:val="000000"/>
          <w:sz w:val="18"/>
          <w:szCs w:val="18"/>
          <w:rtl w:val="0"/>
        </w:rPr>
        <w:t xml:space="preserve">Данное Соглашение является Договором присоединения и регулируется ст. 428 Гражданского кодекса РФ. </w:t>
      </w:r>
    </w:p>
    <w:p w14:paraId="00000033">
      <w:pPr>
        <w:numPr>
          <w:ilvl w:val="1"/>
          <w:numId w:val="1"/>
        </w:numPr>
        <w:pBdr>
          <w:top w:val="none" w:color="auto" w:sz="0" w:space="0"/>
          <w:left w:val="none" w:color="auto" w:sz="0" w:space="0"/>
          <w:bottom w:val="none" w:color="auto" w:sz="0" w:space="0"/>
          <w:right w:val="none" w:color="auto" w:sz="0" w:space="0"/>
          <w:between w:val="none" w:color="auto" w:sz="0" w:space="0"/>
        </w:pBdr>
        <w:ind w:left="0" w:right="-28" w:firstLine="0"/>
        <w:jc w:val="both"/>
        <w:rPr>
          <w:rFonts w:ascii="Times New Roman" w:hAnsi="Times New Roman" w:eastAsia="Times New Roman" w:cs="Times New Roman"/>
          <w:b/>
          <w:sz w:val="18"/>
          <w:szCs w:val="18"/>
        </w:rPr>
      </w:pPr>
      <w:r>
        <w:rPr>
          <w:rFonts w:ascii="Times New Roman" w:hAnsi="Times New Roman" w:eastAsia="Times New Roman" w:cs="Times New Roman"/>
          <w:color w:val="000000"/>
          <w:sz w:val="18"/>
          <w:szCs w:val="18"/>
          <w:rtl w:val="0"/>
        </w:rPr>
        <w:t>Подписывая данное Соглашение собственноручной подписью или при помощи УКЭП, Принимающая сторона выражает согласие на присоединение и гарантирует соблюдение условий указанного Соглашения.</w:t>
      </w:r>
    </w:p>
    <w:p w14:paraId="00000034">
      <w:pPr>
        <w:numPr>
          <w:ilvl w:val="1"/>
          <w:numId w:val="1"/>
        </w:numPr>
        <w:pBdr>
          <w:top w:val="none" w:color="auto" w:sz="0" w:space="0"/>
          <w:left w:val="none" w:color="auto" w:sz="0" w:space="0"/>
          <w:bottom w:val="none" w:color="auto" w:sz="0" w:space="0"/>
          <w:right w:val="none" w:color="auto" w:sz="0" w:space="0"/>
          <w:between w:val="none" w:color="auto" w:sz="0" w:space="0"/>
        </w:pBdr>
        <w:ind w:left="0" w:right="-28" w:firstLine="0"/>
        <w:jc w:val="both"/>
        <w:rPr>
          <w:rFonts w:ascii="Times New Roman" w:hAnsi="Times New Roman" w:eastAsia="Times New Roman" w:cs="Times New Roman"/>
          <w:b/>
          <w:color w:val="000000"/>
          <w:sz w:val="18"/>
          <w:szCs w:val="18"/>
        </w:rPr>
      </w:pPr>
      <w:r>
        <w:rPr>
          <w:rFonts w:ascii="Times New Roman" w:hAnsi="Times New Roman" w:eastAsia="Times New Roman" w:cs="Times New Roman"/>
          <w:sz w:val="18"/>
          <w:szCs w:val="18"/>
          <w:rtl w:val="0"/>
        </w:rPr>
        <w:t xml:space="preserve">К отношениям Сторон по Соглашению применяется законодательство Российской </w:t>
      </w:r>
      <w:r>
        <w:rPr>
          <w:rFonts w:ascii="Times New Roman" w:hAnsi="Times New Roman" w:eastAsia="Times New Roman" w:cs="Times New Roman"/>
          <w:color w:val="000000"/>
          <w:sz w:val="18"/>
          <w:szCs w:val="18"/>
          <w:rtl w:val="0"/>
        </w:rPr>
        <w:t xml:space="preserve">Федерации. </w:t>
      </w:r>
    </w:p>
    <w:p w14:paraId="00000035">
      <w:pPr>
        <w:numPr>
          <w:ilvl w:val="1"/>
          <w:numId w:val="1"/>
        </w:numPr>
        <w:pBdr>
          <w:top w:val="none" w:color="auto" w:sz="0" w:space="0"/>
          <w:left w:val="none" w:color="auto" w:sz="0" w:space="0"/>
          <w:bottom w:val="none" w:color="auto" w:sz="0" w:space="0"/>
          <w:right w:val="none" w:color="auto" w:sz="0" w:space="0"/>
          <w:between w:val="none" w:color="auto" w:sz="0" w:space="0"/>
        </w:pBdr>
        <w:ind w:left="0" w:right="-28" w:firstLine="0"/>
        <w:jc w:val="both"/>
        <w:rPr>
          <w:rFonts w:ascii="Times New Roman" w:hAnsi="Times New Roman" w:eastAsia="Times New Roman" w:cs="Times New Roman"/>
          <w:b/>
          <w:color w:val="000000"/>
          <w:sz w:val="18"/>
          <w:szCs w:val="18"/>
        </w:rPr>
      </w:pPr>
      <w:r>
        <w:rPr>
          <w:rFonts w:ascii="Times New Roman" w:hAnsi="Times New Roman" w:eastAsia="Times New Roman" w:cs="Times New Roman"/>
          <w:color w:val="000000"/>
          <w:sz w:val="18"/>
          <w:szCs w:val="18"/>
          <w:rtl w:val="0"/>
        </w:rPr>
        <w:t>Соглашение вступает в силу с даты подписания и действует до прекращения правоотношений между Сторонами.</w:t>
      </w:r>
    </w:p>
    <w:p w14:paraId="00000036">
      <w:pPr>
        <w:keepNext w:val="0"/>
        <w:keepLines w:val="0"/>
        <w:pageBreakBefore w:val="0"/>
        <w:widowControl/>
        <w:numPr>
          <w:ilvl w:val="0"/>
          <w:numId w:val="1"/>
        </w:numPr>
        <w:pBdr>
          <w:top w:val="none" w:color="auto" w:sz="0" w:space="0"/>
          <w:left w:val="none" w:color="auto" w:sz="0" w:space="0"/>
          <w:bottom w:val="none" w:color="auto" w:sz="0" w:space="0"/>
          <w:right w:val="none" w:color="auto" w:sz="0" w:space="0"/>
          <w:between w:val="none" w:color="auto" w:sz="0" w:space="0"/>
        </w:pBdr>
        <w:shd w:val="clear" w:fill="auto"/>
        <w:spacing w:before="120" w:after="120" w:line="240" w:lineRule="auto"/>
        <w:ind w:left="928" w:right="-29" w:hanging="360"/>
        <w:jc w:val="both"/>
        <w:rPr>
          <w:rFonts w:ascii="Times New Roman" w:hAnsi="Times New Roman" w:eastAsia="Times New Roman" w:cs="Times New Roman"/>
          <w:b/>
          <w:i w:val="0"/>
          <w:smallCaps w:val="0"/>
          <w:strike w:val="0"/>
          <w:color w:val="000000"/>
          <w:sz w:val="18"/>
          <w:szCs w:val="18"/>
          <w:u w:val="none"/>
          <w:shd w:val="clear" w:fill="auto"/>
          <w:vertAlign w:val="baseline"/>
        </w:rPr>
      </w:pPr>
      <w:r>
        <w:rPr>
          <w:rFonts w:ascii="Times New Roman" w:hAnsi="Times New Roman" w:eastAsia="Times New Roman" w:cs="Times New Roman"/>
          <w:b/>
          <w:i w:val="0"/>
          <w:smallCaps w:val="0"/>
          <w:strike w:val="0"/>
          <w:color w:val="000000"/>
          <w:sz w:val="18"/>
          <w:szCs w:val="18"/>
          <w:u w:val="none"/>
          <w:shd w:val="clear" w:fill="auto"/>
          <w:vertAlign w:val="baseline"/>
          <w:rtl w:val="0"/>
        </w:rPr>
        <w:t>Реквизиты и Каналы связи Сторон</w:t>
      </w:r>
    </w:p>
    <w:tbl>
      <w:tblPr>
        <w:tblStyle w:val="35"/>
        <w:tblW w:w="9921" w:type="dxa"/>
        <w:tblInd w:w="0" w:type="dxa"/>
        <w:tblLayout w:type="fixed"/>
        <w:tblCellMar>
          <w:top w:w="0" w:type="dxa"/>
          <w:left w:w="115" w:type="dxa"/>
          <w:bottom w:w="0" w:type="dxa"/>
          <w:right w:w="115" w:type="dxa"/>
        </w:tblCellMar>
      </w:tblPr>
      <w:tblGrid>
        <w:gridCol w:w="4558"/>
        <w:gridCol w:w="5363"/>
      </w:tblGrid>
      <w:tr w14:paraId="46D87362">
        <w:tblPrEx>
          <w:tblCellMar>
            <w:top w:w="0" w:type="dxa"/>
            <w:left w:w="115" w:type="dxa"/>
            <w:bottom w:w="0" w:type="dxa"/>
            <w:right w:w="115" w:type="dxa"/>
          </w:tblCellMar>
        </w:tblPrEx>
        <w:trPr>
          <w:trHeight w:val="373" w:hRule="atLeast"/>
        </w:trPr>
        <w:tc>
          <w:tcPr>
            <w:tcBorders>
              <w:top w:val="single" w:color="000000" w:sz="8" w:space="0"/>
              <w:left w:val="single" w:color="000000" w:sz="8" w:space="0"/>
              <w:bottom w:val="single" w:color="000000" w:sz="8" w:space="0"/>
            </w:tcBorders>
            <w:shd w:val="clear" w:color="auto" w:fill="auto"/>
          </w:tcPr>
          <w:p w14:paraId="00000037">
            <w:pPr>
              <w:widowControl w:val="0"/>
              <w:jc w:val="center"/>
              <w:rPr>
                <w:rFonts w:ascii="Times New Roman" w:hAnsi="Times New Roman" w:eastAsia="Times New Roman" w:cs="Times New Roman"/>
                <w:b/>
                <w:sz w:val="18"/>
                <w:szCs w:val="18"/>
              </w:rPr>
            </w:pPr>
            <w:r>
              <w:rPr>
                <w:rFonts w:ascii="Times New Roman" w:hAnsi="Times New Roman" w:eastAsia="Times New Roman" w:cs="Times New Roman"/>
                <w:b/>
                <w:sz w:val="18"/>
                <w:szCs w:val="18"/>
                <w:rtl w:val="0"/>
              </w:rPr>
              <w:t>Компания</w:t>
            </w:r>
          </w:p>
        </w:tc>
        <w:tc>
          <w:tcPr>
            <w:tcBorders>
              <w:top w:val="single" w:color="000000" w:sz="8" w:space="0"/>
              <w:left w:val="single" w:color="000000" w:sz="8" w:space="0"/>
              <w:bottom w:val="single" w:color="000000" w:sz="8" w:space="0"/>
              <w:right w:val="single" w:color="000000" w:sz="8" w:space="0"/>
            </w:tcBorders>
            <w:shd w:val="clear" w:color="auto" w:fill="auto"/>
          </w:tcPr>
          <w:p w14:paraId="00000038">
            <w:pPr>
              <w:widowControl w:val="0"/>
              <w:jc w:val="center"/>
              <w:rPr>
                <w:rFonts w:ascii="Times New Roman" w:hAnsi="Times New Roman" w:eastAsia="Times New Roman" w:cs="Times New Roman"/>
                <w:b/>
                <w:sz w:val="18"/>
                <w:szCs w:val="18"/>
              </w:rPr>
            </w:pPr>
            <w:r>
              <w:rPr>
                <w:rFonts w:ascii="Times New Roman" w:hAnsi="Times New Roman" w:eastAsia="Times New Roman" w:cs="Times New Roman"/>
                <w:b/>
                <w:sz w:val="18"/>
                <w:szCs w:val="18"/>
                <w:rtl w:val="0"/>
              </w:rPr>
              <w:t>Пользователь</w:t>
            </w:r>
          </w:p>
        </w:tc>
      </w:tr>
      <w:tr w14:paraId="46C248FA">
        <w:tblPrEx>
          <w:tblCellMar>
            <w:top w:w="0" w:type="dxa"/>
            <w:left w:w="115" w:type="dxa"/>
            <w:bottom w:w="0" w:type="dxa"/>
            <w:right w:w="115" w:type="dxa"/>
          </w:tblCellMar>
        </w:tblPrEx>
        <w:trPr>
          <w:trHeight w:val="4122" w:hRule="atLeast"/>
        </w:trPr>
        <w:tc>
          <w:tcPr>
            <w:tcBorders>
              <w:top w:val="single" w:color="000000" w:sz="8" w:space="0"/>
              <w:left w:val="single" w:color="000000" w:sz="8" w:space="0"/>
              <w:bottom w:val="single" w:color="000000" w:sz="8" w:space="0"/>
            </w:tcBorders>
            <w:shd w:val="clear" w:color="auto" w:fill="auto"/>
          </w:tcPr>
          <w:p w14:paraId="00000039">
            <w:pPr>
              <w:widowControl w:val="0"/>
              <w:rPr>
                <w:rFonts w:ascii="Times New Roman" w:hAnsi="Times New Roman" w:eastAsia="Times New Roman" w:cs="Times New Roman"/>
                <w:sz w:val="23"/>
                <w:szCs w:val="23"/>
                <w:highlight w:val="white"/>
              </w:rPr>
            </w:pPr>
            <w:r>
              <w:rPr>
                <w:rFonts w:ascii="Times New Roman" w:hAnsi="Times New Roman" w:eastAsia="Times New Roman" w:cs="Times New Roman"/>
                <w:sz w:val="23"/>
                <w:szCs w:val="23"/>
                <w:highlight w:val="white"/>
                <w:rtl w:val="0"/>
              </w:rPr>
              <w:t xml:space="preserve">ООО «ЛЕГАЛТЭК» в лице Генерального директора Лопатухина Б.В. </w:t>
            </w:r>
          </w:p>
          <w:p w14:paraId="0000003A">
            <w:pPr>
              <w:widowControl w:val="0"/>
              <w:rPr>
                <w:rFonts w:ascii="Times New Roman" w:hAnsi="Times New Roman" w:eastAsia="Times New Roman" w:cs="Times New Roman"/>
                <w:sz w:val="23"/>
                <w:szCs w:val="23"/>
                <w:highlight w:val="white"/>
              </w:rPr>
            </w:pPr>
            <w:r>
              <w:rPr>
                <w:rFonts w:ascii="Times New Roman" w:hAnsi="Times New Roman" w:eastAsia="Times New Roman" w:cs="Times New Roman"/>
                <w:sz w:val="23"/>
                <w:szCs w:val="23"/>
                <w:highlight w:val="white"/>
                <w:rtl w:val="0"/>
              </w:rPr>
              <w:t xml:space="preserve">ИНН: 9731078560 / КПП: </w:t>
            </w:r>
            <w:r>
              <w:rPr>
                <w:rFonts w:hint="default" w:ascii="Times New Roman" w:hAnsi="Times New Roman" w:eastAsia="Times New Roman" w:cs="Times New Roman"/>
                <w:sz w:val="23"/>
                <w:szCs w:val="23"/>
                <w:highlight w:val="white"/>
                <w:rtl w:val="0"/>
                <w:lang w:val="en-US" w:eastAsia="zh-CN"/>
              </w:rPr>
              <w:t>550501001</w:t>
            </w:r>
            <w:bookmarkStart w:id="1" w:name="_GoBack"/>
            <w:bookmarkEnd w:id="1"/>
          </w:p>
          <w:p w14:paraId="0000003B">
            <w:pPr>
              <w:widowControl w:val="0"/>
              <w:rPr>
                <w:rFonts w:ascii="Times New Roman" w:hAnsi="Times New Roman" w:eastAsia="Times New Roman" w:cs="Times New Roman"/>
                <w:sz w:val="23"/>
                <w:szCs w:val="23"/>
                <w:highlight w:val="white"/>
              </w:rPr>
            </w:pPr>
            <w:r>
              <w:rPr>
                <w:rFonts w:ascii="Times New Roman" w:hAnsi="Times New Roman" w:eastAsia="Times New Roman" w:cs="Times New Roman"/>
                <w:sz w:val="23"/>
                <w:szCs w:val="23"/>
                <w:highlight w:val="white"/>
                <w:rtl w:val="0"/>
              </w:rPr>
              <w:t xml:space="preserve">ОГРН: 1217700202510 </w:t>
            </w:r>
          </w:p>
          <w:p w14:paraId="0000003C">
            <w:pPr>
              <w:widowControl w:val="0"/>
              <w:rPr>
                <w:rFonts w:ascii="Times New Roman" w:hAnsi="Times New Roman" w:eastAsia="Times New Roman" w:cs="Times New Roman"/>
                <w:sz w:val="23"/>
                <w:szCs w:val="23"/>
                <w:highlight w:val="white"/>
              </w:rPr>
            </w:pPr>
            <w:r>
              <w:rPr>
                <w:rFonts w:ascii="Times New Roman" w:hAnsi="Times New Roman" w:eastAsia="Times New Roman" w:cs="Times New Roman"/>
                <w:sz w:val="23"/>
                <w:szCs w:val="23"/>
                <w:highlight w:val="white"/>
                <w:rtl w:val="0"/>
              </w:rPr>
              <w:t xml:space="preserve">Юридический адрес: </w:t>
            </w:r>
            <w:r>
              <w:rPr>
                <w:rFonts w:hint="default" w:ascii="Times New Roman" w:hAnsi="Times New Roman" w:eastAsia="Times New Roman" w:cs="Times New Roman"/>
                <w:sz w:val="23"/>
                <w:szCs w:val="23"/>
                <w:highlight w:val="white"/>
                <w:rtl w:val="0"/>
                <w:lang w:val="en-US" w:eastAsia="zh-CN"/>
              </w:rPr>
              <w:t xml:space="preserve">644121, ОМСКАЯ ОБЛАСТЬ, Г.О. ГОРОД </w:t>
            </w:r>
            <w:r>
              <w:rPr>
                <w:rFonts w:hint="default" w:ascii="Times New Roman" w:hAnsi="Times New Roman" w:eastAsia="Times New Roman" w:cs="Times New Roman"/>
                <w:sz w:val="23"/>
                <w:szCs w:val="23"/>
                <w:highlight w:val="white"/>
                <w:rtl w:val="0"/>
                <w:lang w:val="ru-RU" w:eastAsia="zh-CN"/>
              </w:rPr>
              <w:t xml:space="preserve"> </w:t>
            </w:r>
            <w:r>
              <w:rPr>
                <w:rFonts w:hint="default" w:ascii="Times New Roman" w:hAnsi="Times New Roman" w:eastAsia="Times New Roman" w:cs="Times New Roman"/>
                <w:sz w:val="23"/>
                <w:szCs w:val="23"/>
                <w:highlight w:val="white"/>
                <w:rtl w:val="0"/>
                <w:lang w:val="en-US" w:eastAsia="zh-CN"/>
              </w:rPr>
              <w:t>ОМСК, Г. ОМСК, УЛ СУЛЕЙМАНА СТАЛЬСКОГО, Д. 12, ПОМЕЩ. 3П</w:t>
            </w:r>
          </w:p>
          <w:p w14:paraId="0000003D">
            <w:pPr>
              <w:widowControl w:val="0"/>
              <w:rPr>
                <w:rFonts w:ascii="Times New Roman" w:hAnsi="Times New Roman" w:eastAsia="Times New Roman" w:cs="Times New Roman"/>
                <w:sz w:val="18"/>
                <w:szCs w:val="18"/>
              </w:rPr>
            </w:pPr>
            <w:r>
              <w:rPr>
                <w:rFonts w:ascii="Times New Roman" w:hAnsi="Times New Roman" w:eastAsia="Times New Roman" w:cs="Times New Roman"/>
                <w:sz w:val="23"/>
                <w:szCs w:val="23"/>
                <w:highlight w:val="white"/>
                <w:rtl w:val="0"/>
              </w:rPr>
              <w:t>Почтовый адрес: 107031, Г.МОСКВА, ВН.ТЕР.Г. МУНИЦИПАЛЬНЫЙ ОКРУГ ТВЕРСКОЙ, ПЕР ДМИТРОВСКИЙ, Д. 9 Электронная почта: law@applegalhelp.ru</w:t>
            </w:r>
          </w:p>
        </w:tc>
        <w:tc>
          <w:tcPr>
            <w:tcBorders>
              <w:top w:val="single" w:color="000000" w:sz="8" w:space="0"/>
              <w:left w:val="single" w:color="000000" w:sz="8" w:space="0"/>
              <w:bottom w:val="single" w:color="000000" w:sz="8" w:space="0"/>
              <w:right w:val="single" w:color="000000" w:sz="8" w:space="0"/>
            </w:tcBorders>
            <w:shd w:val="clear" w:color="auto" w:fill="auto"/>
          </w:tcPr>
          <w:p w14:paraId="0000003E">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ФИО:__________________________________________________</w:t>
            </w:r>
          </w:p>
          <w:p w14:paraId="0000003F">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Паспорт: ____________ № _____________________________</w:t>
            </w:r>
          </w:p>
          <w:p w14:paraId="00000040">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Выдан «_________» _______________ __________________ г.</w:t>
            </w:r>
          </w:p>
          <w:p w14:paraId="00000041">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________________________________________________________</w:t>
            </w:r>
          </w:p>
          <w:p w14:paraId="00000042">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______________________________________________________</w:t>
            </w:r>
          </w:p>
          <w:p w14:paraId="00000043">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ИНН: _________________________________________________</w:t>
            </w:r>
          </w:p>
          <w:p w14:paraId="00000044">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СНИЛС:_______________________________________________</w:t>
            </w:r>
          </w:p>
          <w:p w14:paraId="00000045">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Адрес: ________________________________________________</w:t>
            </w:r>
          </w:p>
          <w:p w14:paraId="00000046">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______________________________________________________</w:t>
            </w:r>
          </w:p>
          <w:p w14:paraId="00000047">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Дата рождения: _________________________________________</w:t>
            </w:r>
          </w:p>
          <w:p w14:paraId="00000048">
            <w:pPr>
              <w:widowControl w:val="0"/>
              <w:jc w:val="both"/>
              <w:rPr>
                <w:rFonts w:ascii="Times New Roman" w:hAnsi="Times New Roman" w:eastAsia="Times New Roman" w:cs="Times New Roman"/>
                <w:sz w:val="18"/>
                <w:szCs w:val="18"/>
              </w:rPr>
            </w:pPr>
          </w:p>
          <w:p w14:paraId="00000049">
            <w:pPr>
              <w:widowControl w:val="0"/>
              <w:jc w:val="both"/>
              <w:rPr>
                <w:rFonts w:ascii="Times New Roman" w:hAnsi="Times New Roman" w:eastAsia="Times New Roman" w:cs="Times New Roman"/>
                <w:sz w:val="18"/>
                <w:szCs w:val="18"/>
              </w:rPr>
            </w:pPr>
          </w:p>
          <w:p w14:paraId="0000004A">
            <w:pPr>
              <w:widowControl w:val="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 xml:space="preserve"> </w:t>
            </w:r>
          </w:p>
        </w:tc>
      </w:tr>
    </w:tbl>
    <w:p w14:paraId="0000004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sz w:val="18"/>
          <w:szCs w:val="18"/>
        </w:rPr>
      </w:pPr>
    </w:p>
    <w:tbl>
      <w:tblPr>
        <w:tblStyle w:val="36"/>
        <w:tblW w:w="988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66"/>
        <w:gridCol w:w="6823"/>
      </w:tblGrid>
      <w:tr w14:paraId="758F1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gridSpan w:val="2"/>
          </w:tcPr>
          <w:p w14:paraId="0000004C">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tl w:val="0"/>
              </w:rPr>
              <w:t>Каналы связи Пользователя:</w:t>
            </w:r>
          </w:p>
        </w:tc>
      </w:tr>
      <w:tr w14:paraId="63FCD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p w14:paraId="0000004E">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000000"/>
                <w:sz w:val="18"/>
                <w:szCs w:val="18"/>
              </w:rPr>
            </w:pPr>
            <w:r>
              <w:rPr>
                <w:rFonts w:ascii="Times New Roman" w:hAnsi="Times New Roman" w:eastAsia="Times New Roman" w:cs="Times New Roman"/>
                <w:b/>
                <w:color w:val="000000"/>
                <w:sz w:val="18"/>
                <w:szCs w:val="18"/>
                <w:rtl w:val="0"/>
              </w:rPr>
              <w:t>Адрес электронной почты Пользователя</w:t>
            </w:r>
          </w:p>
        </w:tc>
        <w:tc>
          <w:p w14:paraId="0000004F">
            <w:pPr>
              <w:rPr>
                <w:rFonts w:ascii="Times New Roman" w:hAnsi="Times New Roman" w:eastAsia="Times New Roman" w:cs="Times New Roman"/>
                <w:sz w:val="18"/>
                <w:szCs w:val="18"/>
              </w:rPr>
            </w:pPr>
          </w:p>
          <w:p w14:paraId="00000050">
            <w:pPr>
              <w:rPr>
                <w:rFonts w:ascii="Times New Roman" w:hAnsi="Times New Roman" w:eastAsia="Times New Roman" w:cs="Times New Roman"/>
                <w:sz w:val="18"/>
                <w:szCs w:val="18"/>
              </w:rPr>
            </w:pPr>
          </w:p>
        </w:tc>
      </w:tr>
      <w:tr w14:paraId="05B52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p w14:paraId="00000051">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000000"/>
                <w:sz w:val="18"/>
                <w:szCs w:val="18"/>
              </w:rPr>
            </w:pPr>
            <w:r>
              <w:rPr>
                <w:rFonts w:ascii="Times New Roman" w:hAnsi="Times New Roman" w:eastAsia="Times New Roman" w:cs="Times New Roman"/>
                <w:b/>
                <w:color w:val="000000"/>
                <w:sz w:val="18"/>
                <w:szCs w:val="18"/>
                <w:rtl w:val="0"/>
              </w:rPr>
              <w:t>Номер телефона Пользователя</w:t>
            </w:r>
            <w:r>
              <w:rPr>
                <w:rFonts w:ascii="Times New Roman" w:hAnsi="Times New Roman" w:eastAsia="Times New Roman" w:cs="Times New Roman"/>
                <w:color w:val="000000"/>
                <w:sz w:val="18"/>
                <w:szCs w:val="18"/>
                <w:rtl w:val="0"/>
              </w:rPr>
              <w:t xml:space="preserve"> для связи через СМС и мессенджер</w:t>
            </w:r>
          </w:p>
        </w:tc>
        <w:tc>
          <w:p w14:paraId="00000052">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000000"/>
                <w:sz w:val="18"/>
                <w:szCs w:val="18"/>
              </w:rPr>
            </w:pPr>
          </w:p>
        </w:tc>
      </w:tr>
      <w:tr w14:paraId="035AF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p w14:paraId="00000053">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b/>
                <w:color w:val="000000"/>
                <w:sz w:val="18"/>
                <w:szCs w:val="18"/>
              </w:rPr>
            </w:pPr>
          </w:p>
          <w:p w14:paraId="00000054">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18"/>
                <w:szCs w:val="18"/>
              </w:rPr>
            </w:pPr>
            <w:r>
              <w:rPr>
                <w:rFonts w:ascii="Times New Roman" w:hAnsi="Times New Roman" w:eastAsia="Times New Roman" w:cs="Times New Roman"/>
                <w:b/>
                <w:color w:val="000000"/>
                <w:sz w:val="18"/>
                <w:szCs w:val="18"/>
                <w:rtl w:val="0"/>
              </w:rPr>
              <w:t>Подпись Пользователя, присоединяющегося к Соглашению</w:t>
            </w:r>
          </w:p>
        </w:tc>
        <w:tc>
          <w:p w14:paraId="00000055">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000000"/>
                <w:sz w:val="18"/>
                <w:szCs w:val="18"/>
              </w:rPr>
            </w:pPr>
          </w:p>
          <w:p w14:paraId="00000056">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000000"/>
                <w:sz w:val="18"/>
                <w:szCs w:val="18"/>
              </w:rPr>
            </w:pPr>
          </w:p>
          <w:p w14:paraId="00000057">
            <w:pPr>
              <w:pBdr>
                <w:top w:val="none" w:color="auto" w:sz="0" w:space="0"/>
                <w:left w:val="none" w:color="auto" w:sz="0" w:space="0"/>
                <w:bottom w:val="none" w:color="auto" w:sz="0" w:space="0"/>
                <w:right w:val="none" w:color="auto" w:sz="0" w:space="0"/>
                <w:between w:val="none" w:color="auto" w:sz="0" w:space="0"/>
              </w:pBdr>
              <w:jc w:val="both"/>
              <w:rPr>
                <w:rFonts w:ascii="Times New Roman" w:hAnsi="Times New Roman" w:eastAsia="Times New Roman" w:cs="Times New Roman"/>
                <w:color w:val="000000"/>
                <w:sz w:val="18"/>
                <w:szCs w:val="18"/>
              </w:rPr>
            </w:pPr>
          </w:p>
        </w:tc>
      </w:tr>
    </w:tbl>
    <w:p w14:paraId="00000058">
      <w:pPr>
        <w:jc w:val="both"/>
        <w:rPr>
          <w:rFonts w:ascii="Times New Roman" w:hAnsi="Times New Roman" w:eastAsia="Times New Roman" w:cs="Times New Roman"/>
          <w:sz w:val="18"/>
          <w:szCs w:val="18"/>
        </w:rPr>
      </w:pPr>
    </w:p>
    <w:p w14:paraId="00000059">
      <w:pPr>
        <w:jc w:val="both"/>
        <w:rPr>
          <w:rFonts w:ascii="Times New Roman" w:hAnsi="Times New Roman" w:eastAsia="Times New Roman" w:cs="Times New Roman"/>
          <w:sz w:val="18"/>
          <w:szCs w:val="18"/>
        </w:rPr>
      </w:pPr>
    </w:p>
    <w:p w14:paraId="0000005A">
      <w:pPr>
        <w:jc w:val="both"/>
        <w:rPr>
          <w:rFonts w:ascii="Times New Roman" w:hAnsi="Times New Roman" w:eastAsia="Times New Roman" w:cs="Times New Roman"/>
          <w:sz w:val="18"/>
          <w:szCs w:val="18"/>
        </w:rPr>
      </w:pPr>
      <w:r>
        <w:rPr>
          <w:rFonts w:ascii="Times New Roman" w:hAnsi="Times New Roman" w:eastAsia="Times New Roman" w:cs="Times New Roman"/>
          <w:sz w:val="18"/>
          <w:szCs w:val="18"/>
          <w:rtl w:val="0"/>
        </w:rPr>
        <w:t>Доступ в систему по QR-коду:</w:t>
      </w:r>
    </w:p>
    <w:p w14:paraId="0000005B">
      <w:pPr>
        <w:jc w:val="both"/>
        <w:rPr>
          <w:rFonts w:ascii="Times New Roman" w:hAnsi="Times New Roman" w:eastAsia="Times New Roman" w:cs="Times New Roman"/>
          <w:sz w:val="18"/>
          <w:szCs w:val="18"/>
        </w:rPr>
      </w:pPr>
    </w:p>
    <w:p w14:paraId="0000005C">
      <w:pPr>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drawing>
          <wp:inline distT="0" distB="0" distL="0" distR="0">
            <wp:extent cx="1066800" cy="1066800"/>
            <wp:effectExtent l="0" t="0" r="0" b="0"/>
            <wp:docPr id="5" name="image1.png" descr="qrcode (2)"/>
            <wp:cNvGraphicFramePr/>
            <a:graphic xmlns:a="http://schemas.openxmlformats.org/drawingml/2006/main">
              <a:graphicData uri="http://schemas.openxmlformats.org/drawingml/2006/picture">
                <pic:pic xmlns:pic="http://schemas.openxmlformats.org/drawingml/2006/picture">
                  <pic:nvPicPr>
                    <pic:cNvPr id="5" name="image1.png" descr="qrcode (2)"/>
                    <pic:cNvPicPr preferRelativeResize="0"/>
                  </pic:nvPicPr>
                  <pic:blipFill>
                    <a:blip r:embed="rId6"/>
                    <a:srcRect/>
                    <a:stretch>
                      <a:fillRect/>
                    </a:stretch>
                  </pic:blipFill>
                  <pic:spPr>
                    <a:xfrm>
                      <a:off x="0" y="0"/>
                      <a:ext cx="1066800" cy="1066800"/>
                    </a:xfrm>
                    <a:prstGeom prst="rect">
                      <a:avLst/>
                    </a:prstGeom>
                  </pic:spPr>
                </pic:pic>
              </a:graphicData>
            </a:graphic>
          </wp:inline>
        </w:drawing>
      </w:r>
    </w:p>
    <w:p w14:paraId="0000005D">
      <w:pPr>
        <w:jc w:val="both"/>
        <w:rPr>
          <w:rFonts w:ascii="Times New Roman" w:hAnsi="Times New Roman" w:eastAsia="Times New Roman" w:cs="Times New Roman"/>
          <w:sz w:val="18"/>
          <w:szCs w:val="18"/>
        </w:rPr>
      </w:pPr>
    </w:p>
    <w:sectPr>
      <w:headerReference r:id="rId3" w:type="default"/>
      <w:footerReference r:id="rId4" w:type="default"/>
      <w:pgSz w:w="11920" w:h="16850"/>
      <w:pgMar w:top="398" w:right="430" w:bottom="380" w:left="717" w:header="0" w:footer="567"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Georgia">
    <w:panose1 w:val="02040502050405020303"/>
    <w:charset w:val="00"/>
    <w:family w:val="auto"/>
    <w:pitch w:val="default"/>
    <w:sig w:usb0="00000287" w:usb1="00000000" w:usb2="00000000" w:usb3="00000000" w:csb0="2000009F" w:csb1="00000000"/>
  </w:font>
  <w:font w:name="Tahoma">
    <w:panose1 w:val="020B0604030504040204"/>
    <w:charset w:val="00"/>
    <w:family w:val="auto"/>
    <w:pitch w:val="default"/>
    <w:sig w:usb0="E1002EFF" w:usb1="C000605B" w:usb2="00000029" w:usb3="00000000" w:csb0="200101FF" w:csb1="20280000"/>
  </w:font>
  <w:font w:name="Noto Sans Symbol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5F">
    <w:pPr>
      <w:pBdr>
        <w:top w:val="none" w:color="auto" w:sz="0" w:space="0"/>
        <w:left w:val="none" w:color="auto" w:sz="0" w:space="0"/>
        <w:bottom w:val="none" w:color="auto" w:sz="0" w:space="0"/>
        <w:right w:val="none" w:color="auto" w:sz="0" w:space="0"/>
        <w:between w:val="none" w:color="auto" w:sz="0" w:space="0"/>
      </w:pBdr>
      <w:tabs>
        <w:tab w:val="center" w:pos="4677"/>
        <w:tab w:val="right" w:pos="9355"/>
      </w:tabs>
      <w:rPr>
        <w:color w:val="000000"/>
        <w:sz w:val="18"/>
        <w:szCs w:val="18"/>
      </w:rPr>
    </w:pPr>
    <w:r>
      <w:rPr>
        <w:color w:val="000000"/>
        <w:sz w:val="18"/>
        <w:szCs w:val="18"/>
        <w:rtl w:val="0"/>
      </w:rPr>
      <w:t>С условиями Договора присоединения ознакомлен (а) и согласен (согласна)__________________________/____________________________________</w:t>
    </w:r>
  </w:p>
  <w:p w14:paraId="00000060">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mbria" w:hAnsi="Cambria" w:eastAsia="Cambria" w:cs="Cambria"/>
        <w:b w:val="0"/>
        <w:i w:val="0"/>
        <w:smallCaps w:val="0"/>
        <w:strike w:val="0"/>
        <w:color w:val="000000"/>
        <w:sz w:val="24"/>
        <w:szCs w:val="24"/>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5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677"/>
        <w:tab w:val="right" w:pos="9355"/>
      </w:tabs>
      <w:spacing w:before="0" w:after="0" w:line="240" w:lineRule="auto"/>
      <w:ind w:left="0" w:right="0" w:firstLine="0"/>
      <w:jc w:val="left"/>
      <w:rPr>
        <w:rFonts w:ascii="Cambria" w:hAnsi="Cambria" w:eastAsia="Cambria" w:cs="Cambria"/>
        <w:b w:val="0"/>
        <w:i w:val="0"/>
        <w:smallCaps w:val="0"/>
        <w:strike w:val="0"/>
        <w:color w:val="000000"/>
        <w:sz w:val="24"/>
        <w:szCs w:val="24"/>
        <w:u w:val="none"/>
        <w:shd w:val="clear" w:fill="auto"/>
        <w:vertAlign w:val="baseline"/>
      </w:rPr>
    </w:pPr>
    <w:r>
      <w:rPr>
        <w:rFonts w:ascii="Cambria" w:hAnsi="Cambria" w:eastAsia="Cambria" w:cs="Cambria"/>
        <w:b w:val="0"/>
        <w:i w:val="0"/>
        <w:smallCaps w:val="0"/>
        <w:strike w:val="0"/>
        <w:color w:val="000000"/>
        <w:sz w:val="24"/>
        <w:szCs w:val="24"/>
        <w:u w:val="none"/>
        <w:shd w:val="clear" w:fill="auto"/>
        <w:vertAlign w:val="baseline"/>
      </w:rPr>
      <w:drawing>
        <wp:inline distT="0" distB="0" distL="0" distR="0">
          <wp:extent cx="2017395" cy="70866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7" name="image3.png"/>
                  <pic:cNvPicPr preferRelativeResize="0"/>
                </pic:nvPicPr>
                <pic:blipFill>
                  <a:blip r:embed="rId1"/>
                  <a:srcRect/>
                  <a:stretch>
                    <a:fillRect/>
                  </a:stretch>
                </pic:blipFill>
                <pic:spPr>
                  <a:xfrm>
                    <a:off x="0" y="0"/>
                    <a:ext cx="2017437" cy="708829"/>
                  </a:xfrm>
                  <a:prstGeom prst="rect">
                    <a:avLst/>
                  </a:prstGeom>
                </pic:spPr>
              </pic:pic>
            </a:graphicData>
          </a:graphic>
        </wp:inline>
      </w:drawing>
    </w:r>
    <w:r>
      <w:rPr>
        <w:rFonts w:ascii="Cambria" w:hAnsi="Cambria" w:eastAsia="Cambria" w:cs="Cambria"/>
        <w:b w:val="0"/>
        <w:i w:val="0"/>
        <w:smallCaps w:val="0"/>
        <w:strike w:val="0"/>
        <w:color w:val="000000"/>
        <w:sz w:val="24"/>
        <w:szCs w:val="24"/>
        <w:u w:val="none"/>
        <w:shd w:val="clear" w:fill="auto"/>
        <w:vertAlign w:val="baseline"/>
        <w:rtl w:val="0"/>
      </w:rPr>
      <w:tab/>
    </w:r>
    <w:r>
      <w:rPr>
        <w:rFonts w:ascii="Cambria" w:hAnsi="Cambria" w:eastAsia="Cambria" w:cs="Cambria"/>
        <w:b w:val="0"/>
        <w:i w:val="0"/>
        <w:smallCaps w:val="0"/>
        <w:strike w:val="0"/>
        <w:color w:val="000000"/>
        <w:sz w:val="24"/>
        <w:szCs w:val="24"/>
        <w:u w:val="none"/>
        <w:shd w:val="clear" w:fill="auto"/>
        <w:vertAlign w:val="baseline"/>
        <w:rtl w:val="0"/>
      </w:rPr>
      <w:tab/>
    </w:r>
    <w:r>
      <w:rPr>
        <w:rFonts w:ascii="Times New Roman" w:hAnsi="Times New Roman" w:eastAsia="Times New Roman" w:cs="Times New Roman"/>
        <w:b/>
        <w:i w:val="0"/>
        <w:smallCaps w:val="0"/>
        <w:strike w:val="0"/>
        <w:color w:val="000000"/>
        <w:sz w:val="24"/>
        <w:szCs w:val="24"/>
        <w:u w:val="none"/>
        <w:shd w:val="clear" w:fill="auto"/>
        <w:vertAlign w:val="baseline"/>
      </w:rPr>
      <w:drawing>
        <wp:inline distT="0" distB="0" distL="0" distR="0">
          <wp:extent cx="1965325" cy="709930"/>
          <wp:effectExtent l="0" t="0" r="0" b="0"/>
          <wp:docPr id="6" name="image2.png" descr="C:\Users\Павел Шашин\AppData\Local\Microsoft\Windows\INetCache\Content.Word\╨╗╨╡╨│╨░╨╗╤В╤Н╨║_en.png"/>
          <wp:cNvGraphicFramePr/>
          <a:graphic xmlns:a="http://schemas.openxmlformats.org/drawingml/2006/main">
            <a:graphicData uri="http://schemas.openxmlformats.org/drawingml/2006/picture">
              <pic:pic xmlns:pic="http://schemas.openxmlformats.org/drawingml/2006/picture">
                <pic:nvPicPr>
                  <pic:cNvPr id="6" name="image2.png" descr="C:\Users\Павел Шашин\AppData\Local\Microsoft\Windows\INetCache\Content.Word\╨╗╨╡╨│╨░╨╗╤В╤Н╨║_en.png"/>
                  <pic:cNvPicPr preferRelativeResize="0"/>
                </pic:nvPicPr>
                <pic:blipFill>
                  <a:blip r:embed="rId2"/>
                  <a:srcRect/>
                  <a:stretch>
                    <a:fillRect/>
                  </a:stretch>
                </pic:blipFill>
                <pic:spPr>
                  <a:xfrm>
                    <a:off x="0" y="0"/>
                    <a:ext cx="1965542" cy="71029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bullet"/>
      <w:lvlText w:val="●"/>
      <w:lvlJc w:val="left"/>
      <w:pPr>
        <w:ind w:left="360" w:hanging="360"/>
      </w:pPr>
      <w:rPr>
        <w:rFonts w:ascii="Noto Sans Symbols" w:hAnsi="Noto Sans Symbols" w:eastAsia="Noto Sans Symbols" w:cs="Noto Sans Symbols"/>
        <w:b/>
        <w:sz w:val="16"/>
        <w:szCs w:val="16"/>
      </w:rPr>
    </w:lvl>
    <w:lvl w:ilvl="1" w:tentative="0">
      <w:start w:val="1"/>
      <w:numFmt w:val="decimal"/>
      <w:lvlText w:val="●.%2."/>
      <w:lvlJc w:val="left"/>
      <w:pPr>
        <w:ind w:left="792" w:hanging="432"/>
      </w:pPr>
      <w:rPr>
        <w:b/>
        <w:strike w:val="0"/>
        <w:color w:val="000000"/>
      </w:rPr>
    </w:lvl>
    <w:lvl w:ilvl="2" w:tentative="0">
      <w:start w:val="1"/>
      <w:numFmt w:val="decimal"/>
      <w:lvlText w:val="●.%2.%3."/>
      <w:lvlJc w:val="left"/>
      <w:pPr>
        <w:ind w:left="1224" w:hanging="504"/>
      </w:pPr>
    </w:lvl>
    <w:lvl w:ilvl="3" w:tentative="0">
      <w:start w:val="1"/>
      <w:numFmt w:val="decimal"/>
      <w:lvlText w:val="●.%2.%3.%4."/>
      <w:lvlJc w:val="left"/>
      <w:pPr>
        <w:ind w:left="1728" w:hanging="647"/>
      </w:pPr>
    </w:lvl>
    <w:lvl w:ilvl="4" w:tentative="0">
      <w:start w:val="1"/>
      <w:numFmt w:val="decimal"/>
      <w:lvlText w:val="●.%2.%3.%4.%5."/>
      <w:lvlJc w:val="left"/>
      <w:pPr>
        <w:ind w:left="2232" w:hanging="792"/>
      </w:pPr>
    </w:lvl>
    <w:lvl w:ilvl="5" w:tentative="0">
      <w:start w:val="1"/>
      <w:numFmt w:val="decimal"/>
      <w:lvlText w:val="●.%2.%3.%4.%5.%6."/>
      <w:lvlJc w:val="left"/>
      <w:pPr>
        <w:ind w:left="2736" w:hanging="934"/>
      </w:pPr>
    </w:lvl>
    <w:lvl w:ilvl="6" w:tentative="0">
      <w:start w:val="1"/>
      <w:numFmt w:val="decimal"/>
      <w:lvlText w:val="●.%2.%3.%4.%5.%6.%7."/>
      <w:lvlJc w:val="left"/>
      <w:pPr>
        <w:ind w:left="3240" w:hanging="1080"/>
      </w:pPr>
    </w:lvl>
    <w:lvl w:ilvl="7" w:tentative="0">
      <w:start w:val="1"/>
      <w:numFmt w:val="decimal"/>
      <w:lvlText w:val="●.%2.%3.%4.%5.%6.%7.%8."/>
      <w:lvlJc w:val="left"/>
      <w:pPr>
        <w:ind w:left="3744" w:hanging="1224"/>
      </w:pPr>
    </w:lvl>
    <w:lvl w:ilvl="8" w:tentative="0">
      <w:start w:val="1"/>
      <w:numFmt w:val="decimal"/>
      <w:lvlText w:val="●.%2.%3.%4.%5.%6.%7.%8.%9."/>
      <w:lvlJc w:val="left"/>
      <w:pPr>
        <w:ind w:left="4320" w:hanging="1440"/>
      </w:pPr>
    </w:lvl>
  </w:abstractNum>
  <w:abstractNum w:abstractNumId="1">
    <w:nsid w:val="0053208E"/>
    <w:multiLevelType w:val="multilevel"/>
    <w:tmpl w:val="0053208E"/>
    <w:lvl w:ilvl="0" w:tentative="0">
      <w:start w:val="1"/>
      <w:numFmt w:val="decimal"/>
      <w:lvlText w:val="%1."/>
      <w:lvlJc w:val="left"/>
      <w:pPr>
        <w:ind w:left="928" w:hanging="360"/>
      </w:pPr>
      <w:rPr>
        <w:b/>
      </w:rPr>
    </w:lvl>
    <w:lvl w:ilvl="1" w:tentative="0">
      <w:start w:val="1"/>
      <w:numFmt w:val="decimal"/>
      <w:lvlText w:val="%1.%2."/>
      <w:lvlJc w:val="left"/>
      <w:pPr>
        <w:ind w:left="792" w:hanging="432"/>
      </w:pPr>
      <w:rPr>
        <w:b/>
        <w:strike w:val="0"/>
        <w:color w:val="000000"/>
      </w:rPr>
    </w:lvl>
    <w:lvl w:ilvl="2" w:tentative="0">
      <w:start w:val="1"/>
      <w:numFmt w:val="decimal"/>
      <w:lvlText w:val="%1.%2.%3."/>
      <w:lvlJc w:val="left"/>
      <w:pPr>
        <w:ind w:left="1224" w:hanging="504"/>
      </w:pPr>
    </w:lvl>
    <w:lvl w:ilvl="3" w:tentative="0">
      <w:start w:val="1"/>
      <w:numFmt w:val="decimal"/>
      <w:lvlText w:val="%1.%2.%3.%4."/>
      <w:lvlJc w:val="left"/>
      <w:pPr>
        <w:ind w:left="1728" w:hanging="647"/>
      </w:pPr>
    </w:lvl>
    <w:lvl w:ilvl="4" w:tentative="0">
      <w:start w:val="1"/>
      <w:numFmt w:val="decimal"/>
      <w:lvlText w:val="%1.%2.%3.%4.%5."/>
      <w:lvlJc w:val="left"/>
      <w:pPr>
        <w:ind w:left="2232" w:hanging="792"/>
      </w:pPr>
    </w:lvl>
    <w:lvl w:ilvl="5" w:tentative="0">
      <w:start w:val="1"/>
      <w:numFmt w:val="decimal"/>
      <w:lvlText w:val="%1.%2.%3.%4.%5.%6."/>
      <w:lvlJc w:val="left"/>
      <w:pPr>
        <w:ind w:left="2736" w:hanging="934"/>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59ADCABA"/>
    <w:multiLevelType w:val="multilevel"/>
    <w:tmpl w:val="59ADCAB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ompat>
    <w:doNotExpandShiftReturn/>
    <w:doNotWrapTextWithPunct/>
    <w:doNotUseEastAsianBreakRules/>
    <w:doNotUseIndentAsNumberingTabStop/>
    <w:compatSetting w:name="compatibilityMode" w:uri="http://schemas.microsoft.com/office/word" w:val="15"/>
  </w:compat>
  <w:rsids>
    <w:rsidRoot w:val="00000000"/>
    <w:rsid w:val="141463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iPriority="99"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unhideWhenUsed="0" w:uiPriority="39"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rPr>
      <w:rFonts w:ascii="Cambria" w:hAnsi="Cambria" w:eastAsia="Cambria" w:cs="Cambria"/>
      <w:sz w:val="24"/>
      <w:szCs w:val="24"/>
      <w:lang w:val="ru-RU"/>
    </w:rPr>
  </w:style>
  <w:style w:type="paragraph" w:styleId="2">
    <w:name w:val="heading 1"/>
    <w:basedOn w:val="1"/>
    <w:next w:val="1"/>
    <w:link w:val="26"/>
    <w:qFormat/>
    <w:uiPriority w:val="9"/>
    <w:pPr>
      <w:spacing w:before="100" w:beforeAutospacing="1" w:after="100" w:afterAutospacing="1"/>
      <w:outlineLvl w:val="0"/>
    </w:pPr>
    <w:rPr>
      <w:rFonts w:ascii="Times New Roman" w:hAnsi="Times New Roman" w:eastAsia="Times New Roman"/>
      <w:b/>
      <w:bCs/>
      <w:kern w:val="36"/>
      <w:sz w:val="48"/>
      <w:szCs w:val="48"/>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rPr>
  </w:style>
  <w:style w:type="paragraph" w:styleId="6">
    <w:name w:val="heading 5"/>
    <w:basedOn w:val="1"/>
    <w:next w:val="1"/>
    <w:uiPriority w:val="0"/>
    <w:pPr>
      <w:keepNext/>
      <w:keepLines/>
      <w:spacing w:before="220" w:after="40"/>
      <w:outlineLvl w:val="4"/>
    </w:pPr>
    <w:rPr>
      <w:b/>
      <w:sz w:val="22"/>
      <w:szCs w:val="22"/>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annotation reference"/>
    <w:basedOn w:val="8"/>
    <w:semiHidden/>
    <w:unhideWhenUsed/>
    <w:qFormat/>
    <w:uiPriority w:val="99"/>
    <w:rPr>
      <w:sz w:val="16"/>
      <w:szCs w:val="16"/>
    </w:rPr>
  </w:style>
  <w:style w:type="character" w:styleId="11">
    <w:name w:val="Hyperlink"/>
    <w:basedOn w:val="8"/>
    <w:unhideWhenUsed/>
    <w:qFormat/>
    <w:uiPriority w:val="99"/>
    <w:rPr>
      <w:color w:val="0000FF"/>
      <w:u w:val="single"/>
    </w:rPr>
  </w:style>
  <w:style w:type="paragraph" w:styleId="12">
    <w:name w:val="Balloon Text"/>
    <w:basedOn w:val="1"/>
    <w:link w:val="32"/>
    <w:semiHidden/>
    <w:unhideWhenUsed/>
    <w:qFormat/>
    <w:uiPriority w:val="99"/>
    <w:rPr>
      <w:rFonts w:ascii="Tahoma" w:hAnsi="Tahoma" w:cs="Tahoma"/>
      <w:sz w:val="16"/>
      <w:szCs w:val="16"/>
    </w:rPr>
  </w:style>
  <w:style w:type="paragraph" w:styleId="13">
    <w:name w:val="annotation text"/>
    <w:basedOn w:val="1"/>
    <w:link w:val="24"/>
    <w:semiHidden/>
    <w:unhideWhenUsed/>
    <w:qFormat/>
    <w:uiPriority w:val="99"/>
    <w:rPr>
      <w:sz w:val="20"/>
      <w:szCs w:val="20"/>
    </w:rPr>
  </w:style>
  <w:style w:type="paragraph" w:styleId="14">
    <w:name w:val="annotation subject"/>
    <w:basedOn w:val="13"/>
    <w:next w:val="13"/>
    <w:link w:val="25"/>
    <w:semiHidden/>
    <w:unhideWhenUsed/>
    <w:qFormat/>
    <w:uiPriority w:val="99"/>
    <w:rPr>
      <w:b/>
      <w:bCs/>
    </w:rPr>
  </w:style>
  <w:style w:type="paragraph" w:styleId="15">
    <w:name w:val="header"/>
    <w:basedOn w:val="1"/>
    <w:link w:val="30"/>
    <w:unhideWhenUsed/>
    <w:qFormat/>
    <w:uiPriority w:val="99"/>
    <w:pPr>
      <w:tabs>
        <w:tab w:val="center" w:pos="4677"/>
        <w:tab w:val="right" w:pos="9355"/>
      </w:tabs>
    </w:pPr>
  </w:style>
  <w:style w:type="paragraph" w:styleId="16">
    <w:name w:val="Title"/>
    <w:basedOn w:val="1"/>
    <w:next w:val="1"/>
    <w:uiPriority w:val="0"/>
    <w:pPr>
      <w:keepNext/>
      <w:keepLines/>
      <w:spacing w:before="480" w:after="120"/>
    </w:pPr>
    <w:rPr>
      <w:b/>
      <w:sz w:val="72"/>
      <w:szCs w:val="72"/>
    </w:rPr>
  </w:style>
  <w:style w:type="paragraph" w:styleId="17">
    <w:name w:val="footer"/>
    <w:basedOn w:val="1"/>
    <w:link w:val="31"/>
    <w:unhideWhenUsed/>
    <w:qFormat/>
    <w:uiPriority w:val="99"/>
    <w:pPr>
      <w:tabs>
        <w:tab w:val="center" w:pos="4677"/>
        <w:tab w:val="right" w:pos="9355"/>
      </w:tabs>
    </w:pPr>
  </w:style>
  <w:style w:type="paragraph" w:styleId="18">
    <w:name w:val="Normal (Web)"/>
    <w:basedOn w:val="1"/>
    <w:unhideWhenUsed/>
    <w:uiPriority w:val="99"/>
    <w:pPr>
      <w:spacing w:before="100" w:beforeAutospacing="1" w:after="100" w:afterAutospacing="1"/>
    </w:pPr>
    <w:rPr>
      <w:rFonts w:ascii="Times New Roman" w:hAnsi="Times New Roman" w:eastAsia="Times New Roman"/>
    </w:rPr>
  </w:style>
  <w:style w:type="paragraph" w:styleId="19">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20">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Table Normal"/>
    <w:uiPriority w:val="0"/>
    <w:tblPr>
      <w:tblCellMar>
        <w:top w:w="0" w:type="dxa"/>
        <w:left w:w="0" w:type="dxa"/>
        <w:bottom w:w="0" w:type="dxa"/>
        <w:right w:w="0" w:type="dxa"/>
      </w:tblCellMar>
    </w:tblPr>
  </w:style>
  <w:style w:type="paragraph" w:styleId="22">
    <w:name w:val="List Paragraph"/>
    <w:basedOn w:val="1"/>
    <w:qFormat/>
    <w:uiPriority w:val="34"/>
    <w:pPr>
      <w:ind w:left="720"/>
      <w:contextualSpacing/>
    </w:pPr>
  </w:style>
  <w:style w:type="paragraph" w:customStyle="1" w:styleId="23">
    <w:name w:val="Default"/>
    <w:qFormat/>
    <w:uiPriority w:val="0"/>
    <w:pPr>
      <w:autoSpaceDE w:val="0"/>
      <w:autoSpaceDN w:val="0"/>
      <w:adjustRightInd w:val="0"/>
    </w:pPr>
    <w:rPr>
      <w:rFonts w:ascii="Times New Roman" w:hAnsi="Times New Roman" w:eastAsia="Cambria" w:cs="Cambria"/>
      <w:color w:val="000000"/>
      <w:sz w:val="24"/>
      <w:szCs w:val="24"/>
      <w:lang w:val="ru-RU"/>
    </w:rPr>
  </w:style>
  <w:style w:type="character" w:customStyle="1" w:styleId="24">
    <w:name w:val="Текст примечания Знак"/>
    <w:basedOn w:val="8"/>
    <w:link w:val="13"/>
    <w:semiHidden/>
    <w:qFormat/>
    <w:uiPriority w:val="99"/>
    <w:rPr>
      <w:sz w:val="20"/>
      <w:szCs w:val="20"/>
    </w:rPr>
  </w:style>
  <w:style w:type="character" w:customStyle="1" w:styleId="25">
    <w:name w:val="Тема примечания Знак"/>
    <w:basedOn w:val="24"/>
    <w:link w:val="14"/>
    <w:semiHidden/>
    <w:qFormat/>
    <w:uiPriority w:val="99"/>
    <w:rPr>
      <w:b/>
      <w:bCs/>
      <w:sz w:val="20"/>
      <w:szCs w:val="20"/>
    </w:rPr>
  </w:style>
  <w:style w:type="character" w:customStyle="1" w:styleId="26">
    <w:name w:val="Заголовок 1 Знак"/>
    <w:basedOn w:val="8"/>
    <w:link w:val="2"/>
    <w:qFormat/>
    <w:uiPriority w:val="9"/>
    <w:rPr>
      <w:rFonts w:ascii="Times New Roman" w:hAnsi="Times New Roman" w:eastAsia="Times New Roman"/>
      <w:b/>
      <w:bCs/>
      <w:kern w:val="36"/>
      <w:sz w:val="48"/>
      <w:szCs w:val="48"/>
      <w:lang w:eastAsia="ru-RU"/>
    </w:rPr>
  </w:style>
  <w:style w:type="character" w:customStyle="1" w:styleId="27">
    <w:name w:val="Неразрешенное упоминание1"/>
    <w:basedOn w:val="8"/>
    <w:semiHidden/>
    <w:unhideWhenUsed/>
    <w:qFormat/>
    <w:uiPriority w:val="99"/>
    <w:rPr>
      <w:color w:val="605E5C"/>
      <w:shd w:val="clear" w:color="auto" w:fill="E1DFDD"/>
    </w:rPr>
  </w:style>
  <w:style w:type="table" w:customStyle="1" w:styleId="28">
    <w:name w:val="_Style 33"/>
    <w:basedOn w:val="21"/>
    <w:qFormat/>
    <w:uiPriority w:val="0"/>
    <w:tblPr>
      <w:tblCellMar>
        <w:left w:w="108" w:type="dxa"/>
        <w:right w:w="108" w:type="dxa"/>
      </w:tblCellMar>
    </w:tblPr>
  </w:style>
  <w:style w:type="table" w:customStyle="1" w:styleId="29">
    <w:name w:val="_Style 34"/>
    <w:basedOn w:val="21"/>
    <w:qFormat/>
    <w:uiPriority w:val="0"/>
    <w:tblPr>
      <w:tblCellMar>
        <w:left w:w="108" w:type="dxa"/>
        <w:right w:w="108" w:type="dxa"/>
      </w:tblCellMar>
    </w:tblPr>
  </w:style>
  <w:style w:type="character" w:customStyle="1" w:styleId="30">
    <w:name w:val="Верхний колонтитул Знак"/>
    <w:basedOn w:val="8"/>
    <w:link w:val="15"/>
    <w:qFormat/>
    <w:uiPriority w:val="99"/>
  </w:style>
  <w:style w:type="character" w:customStyle="1" w:styleId="31">
    <w:name w:val="Нижний колонтитул Знак"/>
    <w:basedOn w:val="8"/>
    <w:link w:val="17"/>
    <w:qFormat/>
    <w:uiPriority w:val="99"/>
  </w:style>
  <w:style w:type="character" w:customStyle="1" w:styleId="32">
    <w:name w:val="Текст выноски Знак"/>
    <w:basedOn w:val="8"/>
    <w:link w:val="12"/>
    <w:semiHidden/>
    <w:qFormat/>
    <w:uiPriority w:val="99"/>
    <w:rPr>
      <w:rFonts w:ascii="Tahoma" w:hAnsi="Tahoma" w:cs="Tahoma"/>
      <w:sz w:val="16"/>
      <w:szCs w:val="16"/>
    </w:rPr>
  </w:style>
  <w:style w:type="table" w:customStyle="1" w:styleId="33">
    <w:name w:val="_Style 42"/>
    <w:basedOn w:val="21"/>
    <w:qFormat/>
    <w:uiPriority w:val="0"/>
    <w:tblPr>
      <w:tblCellMar>
        <w:top w:w="0" w:type="dxa"/>
        <w:left w:w="108" w:type="dxa"/>
        <w:bottom w:w="0" w:type="dxa"/>
        <w:right w:w="108" w:type="dxa"/>
      </w:tblCellMar>
    </w:tblPr>
  </w:style>
  <w:style w:type="table" w:customStyle="1" w:styleId="34">
    <w:name w:val="_Style 43"/>
    <w:basedOn w:val="21"/>
    <w:qFormat/>
    <w:uiPriority w:val="0"/>
    <w:tblPr>
      <w:tblCellMar>
        <w:top w:w="0" w:type="dxa"/>
        <w:left w:w="108" w:type="dxa"/>
        <w:bottom w:w="0" w:type="dxa"/>
        <w:right w:w="108" w:type="dxa"/>
      </w:tblCellMar>
    </w:tblPr>
  </w:style>
  <w:style w:type="table" w:customStyle="1" w:styleId="35">
    <w:name w:val="_Style 44"/>
    <w:basedOn w:val="21"/>
    <w:qFormat/>
    <w:uiPriority w:val="0"/>
    <w:tblPr>
      <w:tblCellMar>
        <w:top w:w="0" w:type="dxa"/>
        <w:left w:w="115" w:type="dxa"/>
        <w:bottom w:w="0" w:type="dxa"/>
        <w:right w:w="115" w:type="dxa"/>
      </w:tblCellMar>
    </w:tblPr>
  </w:style>
  <w:style w:type="table" w:customStyle="1" w:styleId="36">
    <w:name w:val="_Style 45"/>
    <w:basedOn w:val="21"/>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MGMKywFAqoO3XBl/zZUFefycqA==">CgMxLjAyCGguZ2pkZ3hzOAByITF5cUZsTU8xWmFFUUNGY0lSLTlRaHVlZ0tKelIxbHdEbw==</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Office_12.2.0.19805_F1E327BC-269C-435d-A152-05C5408002CA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2023-07-14T12:50:00Z</dcterms:created>
  <dc:creator>Зорина Эльвира</dc:creator>
  <cp:lastModifiedBy>user</cp:lastModifiedBy>
  <dcterms:modified xsi:type="dcterms:W3CDTF">2025-02-06T05:34:07Z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F1EE54972DDE4B2F94BC940275BA486F_12</vt:lpwstr>
  </property>
</Properties>
</file>